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7C5742AA"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0E54A1">
        <w:rPr>
          <w:rFonts w:ascii="Arial" w:hAnsi="Arial" w:cs="Arial"/>
          <w:b w:val="0"/>
          <w:bCs w:val="0"/>
          <w:sz w:val="19"/>
          <w:szCs w:val="19"/>
        </w:rPr>
        <w:t>…</w:t>
      </w:r>
      <w:r w:rsidR="000E54A1">
        <w:rPr>
          <w:rFonts w:ascii="Arial" w:hAnsi="Arial" w:cs="Arial"/>
          <w:bCs w:val="0"/>
          <w:sz w:val="19"/>
          <w:szCs w:val="19"/>
        </w:rPr>
        <w:t>…………..</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7DBAA99A"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p>
    <w:p w14:paraId="564BD3A7" w14:textId="77777777" w:rsidR="00E4474D" w:rsidRPr="009D0225" w:rsidRDefault="00E4474D" w:rsidP="00352D4A">
      <w:pPr>
        <w:spacing w:line="276" w:lineRule="auto"/>
        <w:rPr>
          <w:rFonts w:ascii="Arial" w:hAnsi="Arial" w:cs="Arial"/>
          <w:b/>
          <w:bCs/>
          <w:sz w:val="19"/>
          <w:szCs w:val="19"/>
        </w:rPr>
      </w:pPr>
    </w:p>
    <w:p w14:paraId="568CC253" w14:textId="5F9A9848" w:rsidR="009B6EDC" w:rsidRPr="009B6EDC" w:rsidRDefault="00B50B40" w:rsidP="009B6EDC">
      <w:pPr>
        <w:spacing w:line="276" w:lineRule="auto"/>
        <w:rPr>
          <w:rFonts w:ascii="Arial" w:hAnsi="Arial" w:cs="Arial"/>
          <w:sz w:val="19"/>
          <w:szCs w:val="19"/>
        </w:rPr>
      </w:pPr>
      <w:r>
        <w:rPr>
          <w:rFonts w:ascii="Arial" w:hAnsi="Arial" w:cs="Arial"/>
          <w:sz w:val="19"/>
          <w:szCs w:val="19"/>
        </w:rPr>
        <w:t xml:space="preserve">zawarta w dniu </w:t>
      </w:r>
      <w:r w:rsidR="000E54A1">
        <w:rPr>
          <w:rFonts w:ascii="Arial" w:hAnsi="Arial" w:cs="Arial"/>
          <w:b/>
          <w:sz w:val="19"/>
          <w:szCs w:val="19"/>
        </w:rPr>
        <w:t>………………</w:t>
      </w:r>
      <w:r w:rsidR="009B6EDC" w:rsidRPr="009B6EDC">
        <w:rPr>
          <w:rFonts w:ascii="Arial" w:hAnsi="Arial" w:cs="Arial"/>
          <w:sz w:val="19"/>
          <w:szCs w:val="19"/>
        </w:rPr>
        <w:t xml:space="preserve"> roku pomiędzy Gminą Stęszew zwaną w dalszej treści umowy Zamawiającym, reprezentowaną przez:</w:t>
      </w:r>
    </w:p>
    <w:p w14:paraId="745B82E0" w14:textId="6F331121" w:rsidR="007B48A0" w:rsidRDefault="007B48A0" w:rsidP="00B50B40">
      <w:pPr>
        <w:spacing w:line="276" w:lineRule="auto"/>
        <w:rPr>
          <w:rFonts w:ascii="Arial" w:hAnsi="Arial" w:cs="Arial"/>
          <w:sz w:val="19"/>
          <w:szCs w:val="19"/>
        </w:rPr>
      </w:pPr>
      <w:r>
        <w:rPr>
          <w:rFonts w:ascii="Arial" w:hAnsi="Arial" w:cs="Arial"/>
          <w:sz w:val="19"/>
          <w:szCs w:val="19"/>
        </w:rPr>
        <w:t>………………………………………………</w:t>
      </w:r>
    </w:p>
    <w:p w14:paraId="0B42F6F0" w14:textId="77777777" w:rsidR="00B50B40" w:rsidRPr="00B50B40" w:rsidRDefault="00B50B40" w:rsidP="00B50B40">
      <w:pPr>
        <w:spacing w:line="276" w:lineRule="auto"/>
        <w:rPr>
          <w:rFonts w:ascii="Arial" w:hAnsi="Arial" w:cs="Arial"/>
          <w:sz w:val="19"/>
          <w:szCs w:val="19"/>
        </w:rPr>
      </w:pPr>
      <w:r w:rsidRPr="00B50B40">
        <w:rPr>
          <w:rFonts w:ascii="Arial" w:hAnsi="Arial" w:cs="Arial"/>
          <w:sz w:val="19"/>
          <w:szCs w:val="19"/>
        </w:rPr>
        <w:t>a</w:t>
      </w:r>
    </w:p>
    <w:p w14:paraId="31FAB84B" w14:textId="3514167C" w:rsidR="009B6EDC" w:rsidRPr="000E54A1" w:rsidRDefault="000E54A1" w:rsidP="00B50B40">
      <w:pPr>
        <w:spacing w:line="276" w:lineRule="auto"/>
        <w:rPr>
          <w:rFonts w:ascii="Arial" w:hAnsi="Arial" w:cs="Arial"/>
          <w:b/>
          <w:sz w:val="19"/>
          <w:szCs w:val="19"/>
        </w:rPr>
      </w:pPr>
      <w:r>
        <w:rPr>
          <w:rFonts w:ascii="Arial" w:hAnsi="Arial" w:cs="Arial"/>
          <w:b/>
          <w:sz w:val="19"/>
          <w:szCs w:val="19"/>
        </w:rPr>
        <w:t>………………………………………….</w:t>
      </w:r>
    </w:p>
    <w:p w14:paraId="0646170F" w14:textId="77777777" w:rsidR="00B50B40" w:rsidRPr="009D0225" w:rsidRDefault="00B50B40" w:rsidP="00B50B40">
      <w:pPr>
        <w:spacing w:line="276" w:lineRule="auto"/>
        <w:rPr>
          <w:rFonts w:ascii="Arial" w:hAnsi="Arial" w:cs="Arial"/>
          <w:sz w:val="19"/>
          <w:szCs w:val="19"/>
        </w:rPr>
      </w:pPr>
    </w:p>
    <w:p w14:paraId="223FA112" w14:textId="14E88FF6"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0E54A1">
        <w:rPr>
          <w:rFonts w:ascii="Arial" w:hAnsi="Arial" w:cs="Arial"/>
          <w:b/>
          <w:sz w:val="19"/>
          <w:szCs w:val="19"/>
        </w:rPr>
        <w:t>………………….</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15250BB6"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E2546B" w:rsidRPr="00E2546B">
        <w:rPr>
          <w:rFonts w:ascii="Arial" w:hAnsi="Arial" w:cs="Arial"/>
          <w:b/>
          <w:sz w:val="19"/>
          <w:szCs w:val="19"/>
        </w:rPr>
        <w:t>Naprawa nawierzchni dróg gruntowych kamieniem tłuczonym na terenie Gminy Stęszew</w:t>
      </w:r>
      <w:r w:rsidR="007B48A0">
        <w:rPr>
          <w:rFonts w:ascii="Arial" w:hAnsi="Arial" w:cs="Arial"/>
          <w:b/>
          <w:sz w:val="19"/>
          <w:szCs w:val="19"/>
        </w:rPr>
        <w:t xml:space="preserve"> w 2019 roku</w:t>
      </w:r>
      <w:r w:rsidR="00E2546B" w:rsidRPr="00E2546B">
        <w:rPr>
          <w:rFonts w:ascii="Arial" w:hAnsi="Arial" w:cs="Arial"/>
          <w:b/>
          <w:sz w:val="19"/>
          <w:szCs w:val="19"/>
        </w:rPr>
        <w:t xml:space="preserve"> z materiału Wykonawcy</w:t>
      </w:r>
    </w:p>
    <w:p w14:paraId="04441187" w14:textId="421903A7" w:rsidR="006D0D5B" w:rsidRPr="00E2546B" w:rsidRDefault="00DB289F" w:rsidP="00E254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 xml:space="preserve">Zakres prac </w:t>
      </w:r>
      <w:r w:rsidR="00E2546B" w:rsidRPr="00E2546B">
        <w:rPr>
          <w:rFonts w:ascii="Arial" w:hAnsi="Arial" w:cs="Arial"/>
          <w:b/>
          <w:sz w:val="19"/>
          <w:szCs w:val="19"/>
        </w:rPr>
        <w:t>zgodnie z załączonym do oferty kosztorysem ofertowym</w:t>
      </w:r>
    </w:p>
    <w:p w14:paraId="493F0E2C" w14:textId="03786CC5" w:rsidR="007B48A0" w:rsidRDefault="007B48A0" w:rsidP="007B48A0">
      <w:pPr>
        <w:pStyle w:val="Akapitzlist"/>
        <w:numPr>
          <w:ilvl w:val="0"/>
          <w:numId w:val="33"/>
        </w:numPr>
        <w:ind w:left="284" w:hanging="284"/>
        <w:jc w:val="both"/>
        <w:rPr>
          <w:rFonts w:ascii="Arial" w:hAnsi="Arial" w:cs="Arial"/>
          <w:sz w:val="19"/>
          <w:szCs w:val="19"/>
        </w:rPr>
      </w:pPr>
      <w:r w:rsidRPr="007B48A0">
        <w:rPr>
          <w:rFonts w:ascii="Arial" w:hAnsi="Arial" w:cs="Arial"/>
          <w:sz w:val="19"/>
          <w:szCs w:val="19"/>
        </w:rPr>
        <w:t>Podany w kosztorysie ofertowym zakres robót jest ilością maksymalną. Zamawiający zastrzega możliwość wykonania mniejszego zakresu robót zgodnie ze swoim zapotrzebowaniem. 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0CBF1237"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423C6">
        <w:rPr>
          <w:rFonts w:ascii="Arial" w:hAnsi="Arial" w:cs="Arial"/>
          <w:sz w:val="19"/>
          <w:szCs w:val="19"/>
        </w:rPr>
        <w:t xml:space="preserve"> – 1</w:t>
      </w:r>
      <w:r w:rsidR="00615800" w:rsidRPr="009D0225">
        <w:rPr>
          <w:rFonts w:ascii="Arial" w:hAnsi="Arial" w:cs="Arial"/>
          <w:sz w:val="19"/>
          <w:szCs w:val="19"/>
        </w:rPr>
        <w:t xml:space="preserve"> egzemplarz,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lastRenderedPageBreak/>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48DF4AB6"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E2546B">
        <w:rPr>
          <w:rFonts w:ascii="Arial" w:hAnsi="Arial" w:cs="Arial"/>
          <w:sz w:val="19"/>
          <w:szCs w:val="19"/>
        </w:rPr>
        <w:t xml:space="preserve"> </w:t>
      </w:r>
      <w:r w:rsidR="000E54A1">
        <w:rPr>
          <w:rFonts w:ascii="Arial" w:hAnsi="Arial" w:cs="Arial"/>
          <w:b/>
          <w:sz w:val="19"/>
          <w:szCs w:val="19"/>
        </w:rPr>
        <w:t>………………..</w:t>
      </w:r>
      <w:r w:rsidR="001C2191">
        <w:rPr>
          <w:rFonts w:ascii="Arial" w:hAnsi="Arial" w:cs="Arial"/>
          <w:sz w:val="19"/>
          <w:szCs w:val="19"/>
        </w:rPr>
        <w:t xml:space="preserve"> </w:t>
      </w:r>
      <w:r w:rsidRPr="009D0225">
        <w:rPr>
          <w:rFonts w:ascii="Arial" w:hAnsi="Arial" w:cs="Arial"/>
          <w:sz w:val="19"/>
          <w:szCs w:val="19"/>
        </w:rPr>
        <w:t>roku.</w:t>
      </w:r>
    </w:p>
    <w:p w14:paraId="636F85E7" w14:textId="3F376328"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E2546B">
        <w:rPr>
          <w:rFonts w:ascii="Arial" w:hAnsi="Arial" w:cs="Arial"/>
          <w:sz w:val="19"/>
          <w:szCs w:val="19"/>
        </w:rPr>
        <w:t xml:space="preserve"> </w:t>
      </w:r>
      <w:r w:rsidR="00E2546B" w:rsidRPr="000E54A1">
        <w:rPr>
          <w:rFonts w:ascii="Arial" w:hAnsi="Arial" w:cs="Arial"/>
          <w:b/>
          <w:sz w:val="19"/>
          <w:szCs w:val="19"/>
        </w:rPr>
        <w:t>31.1</w:t>
      </w:r>
      <w:r w:rsidR="0016541E">
        <w:rPr>
          <w:rFonts w:ascii="Arial" w:hAnsi="Arial" w:cs="Arial"/>
          <w:b/>
          <w:sz w:val="19"/>
          <w:szCs w:val="19"/>
        </w:rPr>
        <w:t>2</w:t>
      </w:r>
      <w:r w:rsidR="00E2546B" w:rsidRPr="000E54A1">
        <w:rPr>
          <w:rFonts w:ascii="Arial" w:hAnsi="Arial" w:cs="Arial"/>
          <w:b/>
          <w:sz w:val="19"/>
          <w:szCs w:val="19"/>
        </w:rPr>
        <w:t>.201</w:t>
      </w:r>
      <w:r w:rsidR="000E54A1" w:rsidRPr="000E54A1">
        <w:rPr>
          <w:rFonts w:ascii="Arial" w:hAnsi="Arial" w:cs="Arial"/>
          <w:b/>
          <w:sz w:val="19"/>
          <w:szCs w:val="19"/>
        </w:rPr>
        <w:t>9</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098E3229"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0E54A1">
        <w:rPr>
          <w:rFonts w:ascii="Arial" w:hAnsi="Arial" w:cs="Arial"/>
          <w:b/>
          <w:sz w:val="19"/>
          <w:szCs w:val="19"/>
        </w:rPr>
        <w:t>……………………..</w:t>
      </w:r>
      <w:r w:rsidR="00332D43">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534F68AB" w:rsidR="008F0422" w:rsidRPr="000E54A1" w:rsidRDefault="000158C2" w:rsidP="00352D4A">
      <w:pPr>
        <w:tabs>
          <w:tab w:val="left" w:pos="567"/>
        </w:tabs>
        <w:spacing w:line="276" w:lineRule="auto"/>
        <w:jc w:val="both"/>
        <w:rPr>
          <w:rFonts w:ascii="Arial" w:hAnsi="Arial" w:cs="Arial"/>
          <w:b/>
          <w:sz w:val="19"/>
          <w:szCs w:val="19"/>
        </w:rPr>
      </w:pPr>
      <w:r w:rsidRPr="009D0225">
        <w:rPr>
          <w:rFonts w:ascii="Arial" w:hAnsi="Arial" w:cs="Arial"/>
          <w:sz w:val="19"/>
          <w:szCs w:val="19"/>
        </w:rPr>
        <w:t xml:space="preserve">słownie: </w:t>
      </w:r>
      <w:r w:rsidR="000E54A1">
        <w:rPr>
          <w:rFonts w:ascii="Arial" w:hAnsi="Arial" w:cs="Arial"/>
          <w:b/>
          <w:sz w:val="19"/>
          <w:szCs w:val="19"/>
        </w:rPr>
        <w:t>…………………………………………………………………………………………</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0D8863AF" w:rsidR="006D0D5B" w:rsidRPr="006D0D5B" w:rsidRDefault="006423C6" w:rsidP="006D0D5B">
      <w:pPr>
        <w:numPr>
          <w:ilvl w:val="1"/>
          <w:numId w:val="3"/>
        </w:numPr>
        <w:ind w:hanging="252"/>
        <w:jc w:val="both"/>
        <w:rPr>
          <w:rFonts w:ascii="Arial" w:hAnsi="Arial" w:cs="Arial"/>
          <w:sz w:val="19"/>
          <w:szCs w:val="19"/>
        </w:rPr>
      </w:pPr>
      <w:r>
        <w:rPr>
          <w:rFonts w:ascii="Arial" w:hAnsi="Arial" w:cs="Arial"/>
          <w:sz w:val="19"/>
          <w:szCs w:val="19"/>
        </w:rPr>
        <w:t xml:space="preserve">Po zakończeniu etapu robót </w:t>
      </w:r>
      <w:r w:rsidR="006D0D5B" w:rsidRPr="006D0D5B">
        <w:rPr>
          <w:rFonts w:ascii="Arial" w:hAnsi="Arial" w:cs="Arial"/>
          <w:sz w:val="19"/>
          <w:szCs w:val="19"/>
        </w:rPr>
        <w:t>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6343E885"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w:t>
      </w:r>
      <w:r w:rsidR="006423C6">
        <w:rPr>
          <w:rFonts w:ascii="Arial" w:hAnsi="Arial" w:cs="Arial"/>
          <w:sz w:val="19"/>
          <w:szCs w:val="19"/>
        </w:rPr>
        <w:t>e będą z udziałem Zamawiającego i</w:t>
      </w:r>
      <w:r w:rsidRPr="006D0D5B">
        <w:rPr>
          <w:rFonts w:ascii="Arial" w:hAnsi="Arial" w:cs="Arial"/>
          <w:sz w:val="19"/>
          <w:szCs w:val="19"/>
        </w:rPr>
        <w:t xml:space="preserve"> Wykonawcy,</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lastRenderedPageBreak/>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 xml:space="preserve">Nieprzedłożenie przez Wykonawcę kopii umów zawartych przez Wykonawcę z Pracownikami świadczącymi usługi/roboty budowlane w terminie wskazanym przez Zamawiającego zgodnie z pkt. 2 </w:t>
      </w:r>
      <w:r w:rsidRPr="00377464">
        <w:rPr>
          <w:rFonts w:ascii="Arial" w:hAnsi="Arial" w:cs="Arial"/>
          <w:bCs/>
          <w:sz w:val="19"/>
          <w:szCs w:val="19"/>
        </w:rPr>
        <w:lastRenderedPageBreak/>
        <w:t>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62899759" w14:textId="34016E78" w:rsidR="00334889" w:rsidRPr="006423C6" w:rsidRDefault="00B440B6" w:rsidP="006423C6">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r w:rsidR="006423C6" w:rsidRPr="009D0225">
        <w:rPr>
          <w:rFonts w:ascii="Arial" w:hAnsi="Arial" w:cs="Arial"/>
          <w:sz w:val="19"/>
          <w:szCs w:val="19"/>
        </w:rPr>
        <w:t>utrzymania terenu budowy w stanie wolnym od przeszkód komunikacyjnych oraz usuwania na bieżąco zbędnych materiałów, odpadów i śmieci,</w:t>
      </w:r>
      <w:bookmarkStart w:id="0" w:name="_GoBack"/>
      <w:bookmarkEnd w:id="0"/>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lastRenderedPageBreak/>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62324072"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25687F">
        <w:rPr>
          <w:rFonts w:ascii="Arial" w:hAnsi="Arial" w:cs="Arial"/>
          <w:b/>
          <w:bCs/>
          <w:sz w:val="19"/>
          <w:szCs w:val="19"/>
        </w:rPr>
        <w:t>2</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34C2068A" w:rsidR="00E37F5A" w:rsidRPr="00E37F5A" w:rsidRDefault="0025687F" w:rsidP="00E37F5A">
      <w:pPr>
        <w:tabs>
          <w:tab w:val="left" w:pos="567"/>
        </w:tabs>
        <w:jc w:val="both"/>
        <w:rPr>
          <w:rFonts w:ascii="Arial" w:hAnsi="Arial" w:cs="Arial"/>
          <w:sz w:val="19"/>
          <w:szCs w:val="19"/>
        </w:rPr>
      </w:pPr>
      <w:r>
        <w:rPr>
          <w:rFonts w:ascii="Arial" w:hAnsi="Arial" w:cs="Arial"/>
          <w:b/>
          <w:bCs/>
          <w:sz w:val="19"/>
          <w:szCs w:val="19"/>
        </w:rPr>
        <w:t>§ 13</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edmiot umowy co stanowi kwotę</w:t>
      </w:r>
      <w:r w:rsidR="00B50B40">
        <w:rPr>
          <w:rFonts w:ascii="Arial" w:hAnsi="Arial" w:cs="Arial"/>
          <w:sz w:val="19"/>
          <w:szCs w:val="19"/>
        </w:rPr>
        <w:t xml:space="preserve"> </w:t>
      </w:r>
      <w:r w:rsidR="000E54A1">
        <w:rPr>
          <w:rFonts w:ascii="Arial" w:hAnsi="Arial" w:cs="Arial"/>
          <w:b/>
          <w:sz w:val="19"/>
          <w:szCs w:val="19"/>
        </w:rPr>
        <w:t>………………..</w:t>
      </w:r>
      <w:r w:rsidR="00B50B40">
        <w:rPr>
          <w:rFonts w:ascii="Arial" w:hAnsi="Arial" w:cs="Arial"/>
          <w:sz w:val="19"/>
          <w:szCs w:val="19"/>
        </w:rPr>
        <w:t>złote</w:t>
      </w:r>
    </w:p>
    <w:p w14:paraId="0E20C398" w14:textId="05F1571A"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Słownie</w:t>
      </w:r>
      <w:r w:rsidR="000E54A1">
        <w:rPr>
          <w:rFonts w:ascii="Arial" w:hAnsi="Arial" w:cs="Arial"/>
          <w:b/>
          <w:sz w:val="19"/>
          <w:szCs w:val="19"/>
        </w:rPr>
        <w:t>…………………………………………………………………………………………….</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1B4D84B5" w:rsidR="00E37F5A" w:rsidRPr="00E2546B" w:rsidRDefault="00E37F5A" w:rsidP="00E2546B">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E2546B" w:rsidRPr="00E2546B">
        <w:rPr>
          <w:rFonts w:ascii="Arial" w:hAnsi="Arial" w:cs="Arial"/>
          <w:bCs/>
          <w:sz w:val="19"/>
          <w:szCs w:val="19"/>
        </w:rPr>
        <w:t>Naprawa nawierzchni dróg gruntowych kamieniem tłuczonym na terenie Gminy Stęszew</w:t>
      </w:r>
      <w:r w:rsidR="007B48A0">
        <w:rPr>
          <w:rFonts w:ascii="Arial" w:hAnsi="Arial" w:cs="Arial"/>
          <w:bCs/>
          <w:sz w:val="19"/>
          <w:szCs w:val="19"/>
        </w:rPr>
        <w:t xml:space="preserve"> w 2019 roku</w:t>
      </w:r>
      <w:r w:rsidR="00E2546B" w:rsidRPr="00E2546B">
        <w:rPr>
          <w:rFonts w:ascii="Arial" w:hAnsi="Arial" w:cs="Arial"/>
          <w:bCs/>
          <w:sz w:val="19"/>
          <w:szCs w:val="19"/>
        </w:rPr>
        <w:t xml:space="preserve"> z materiału Wykonawcy</w:t>
      </w:r>
      <w:r w:rsidRPr="00E2546B">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36D06BE8"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25687F">
        <w:rPr>
          <w:rFonts w:ascii="Arial" w:hAnsi="Arial" w:cs="Arial"/>
          <w:b/>
          <w:bCs/>
          <w:sz w:val="19"/>
          <w:szCs w:val="19"/>
          <w:lang w:val="pl-PL"/>
        </w:rPr>
        <w:t>4</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57282D1A" w14:textId="3AE7ECE5" w:rsidR="00E2546B" w:rsidRPr="00E2546B" w:rsidRDefault="00CF10B0" w:rsidP="00E2546B">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3B57143D" w14:textId="77777777" w:rsidR="00E2546B" w:rsidRDefault="00E2546B" w:rsidP="00E2546B">
      <w:pPr>
        <w:pStyle w:val="Standard"/>
        <w:tabs>
          <w:tab w:val="left" w:pos="284"/>
        </w:tabs>
        <w:spacing w:line="276" w:lineRule="auto"/>
        <w:jc w:val="both"/>
        <w:rPr>
          <w:rFonts w:ascii="Arial" w:eastAsia="Arial" w:hAnsi="Arial" w:cs="Arial"/>
          <w:sz w:val="19"/>
          <w:szCs w:val="19"/>
          <w:lang w:val="pl-PL"/>
        </w:rPr>
      </w:pPr>
    </w:p>
    <w:p w14:paraId="3B428493" w14:textId="501D7B79"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b/>
          <w:sz w:val="19"/>
          <w:szCs w:val="19"/>
          <w:lang w:val="pl-PL"/>
        </w:rPr>
        <w:t>§ 1</w:t>
      </w:r>
      <w:r>
        <w:rPr>
          <w:rFonts w:ascii="Arial" w:eastAsia="Arial" w:hAnsi="Arial" w:cs="Arial"/>
          <w:b/>
          <w:sz w:val="19"/>
          <w:szCs w:val="19"/>
          <w:lang w:val="pl-PL"/>
        </w:rPr>
        <w:t>5</w:t>
      </w:r>
      <w:r w:rsidRPr="00E2546B">
        <w:rPr>
          <w:rFonts w:ascii="Arial" w:eastAsia="Arial" w:hAnsi="Arial" w:cs="Arial"/>
          <w:sz w:val="19"/>
          <w:szCs w:val="19"/>
          <w:lang w:val="pl-PL"/>
        </w:rPr>
        <w:t xml:space="preserve">. Klauzula informacyjna dla umów z osobami fizycznymi prowadzącymi własną działalność gospodarczą </w:t>
      </w:r>
    </w:p>
    <w:p w14:paraId="01E4BF84"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Zgodnie z art. 13  rozporządzenia Parlamentu Europejskiego (RODO) (tj. Dz. U. z 2016r. poz. 679 z dnia 27.04.2016r.) informujemy, iż:</w:t>
      </w:r>
    </w:p>
    <w:p w14:paraId="3F93E2B3"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1) administratorem Pani/Pana danych osobowych jest Burmistrz Gminy Stęszew z siedzibą w Urzędzie Miejskim Gminy Stęszew, ul. Poznańska 11, 62-060 Stęszew,</w:t>
      </w:r>
    </w:p>
    <w:p w14:paraId="276CCC44"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 xml:space="preserve">2) Pani/Pana dane osobowe będą przetwarzane zgodnie z obowiązującymi przepisami prawa w celu zawarcia oraz realizacji umowy i nie zostaną udostępnione innym podmiotom niż upoważnione na </w:t>
      </w:r>
      <w:r w:rsidRPr="00E2546B">
        <w:rPr>
          <w:rFonts w:ascii="Arial" w:eastAsia="Arial" w:hAnsi="Arial" w:cs="Arial"/>
          <w:sz w:val="19"/>
          <w:szCs w:val="19"/>
          <w:lang w:val="pl-PL"/>
        </w:rPr>
        <w:lastRenderedPageBreak/>
        <w:t>podstawie przepisów prawa,</w:t>
      </w:r>
    </w:p>
    <w:p w14:paraId="13E51204"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 xml:space="preserve">3) posiada Pani/Pan prawo dostępu do treści swoich danych oraz ich poprawiania,  </w:t>
      </w:r>
    </w:p>
    <w:p w14:paraId="55F0D79A" w14:textId="77777777" w:rsidR="00E2546B" w:rsidRPr="00E2546B" w:rsidRDefault="00E2546B" w:rsidP="00E2546B">
      <w:pPr>
        <w:pStyle w:val="Standard"/>
        <w:tabs>
          <w:tab w:val="left" w:pos="284"/>
        </w:tabs>
        <w:spacing w:line="276" w:lineRule="auto"/>
        <w:rPr>
          <w:rFonts w:ascii="Arial" w:eastAsia="Arial" w:hAnsi="Arial" w:cs="Arial"/>
          <w:sz w:val="19"/>
          <w:szCs w:val="19"/>
          <w:lang w:val="pl-PL"/>
        </w:rPr>
      </w:pPr>
      <w:r w:rsidRPr="00E2546B">
        <w:rPr>
          <w:rFonts w:ascii="Arial" w:eastAsia="Arial" w:hAnsi="Arial" w:cs="Arial"/>
          <w:sz w:val="19"/>
          <w:szCs w:val="19"/>
          <w:lang w:val="pl-PL"/>
        </w:rPr>
        <w:t>4) podanie danych osobowych w zakresie niezbędnym do realizacji zawartych umów oraz prowadzenia rozliczeń między stronami jest obligatoryjne, a w pozostałym zakresie jest dobrowolne.</w:t>
      </w:r>
    </w:p>
    <w:p w14:paraId="16B0412E" w14:textId="77777777" w:rsidR="00E2546B" w:rsidRDefault="00E2546B" w:rsidP="00E2546B">
      <w:pPr>
        <w:pStyle w:val="Standard"/>
        <w:tabs>
          <w:tab w:val="left" w:pos="284"/>
        </w:tabs>
        <w:spacing w:line="276" w:lineRule="auto"/>
        <w:jc w:val="both"/>
        <w:rPr>
          <w:rFonts w:ascii="Arial" w:eastAsia="Arial" w:hAnsi="Arial" w:cs="Arial"/>
          <w:sz w:val="19"/>
          <w:szCs w:val="19"/>
          <w:lang w:val="pl-PL"/>
        </w:rPr>
      </w:pPr>
    </w:p>
    <w:p w14:paraId="11ED4978" w14:textId="77777777" w:rsidR="00E2546B" w:rsidRDefault="00E2546B"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061E0FA8" w:rsidR="006D0D5B" w:rsidRPr="006D0D5B" w:rsidRDefault="00E2546B"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16</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t>
      </w:r>
      <w:r w:rsidRPr="006D0D5B">
        <w:rPr>
          <w:rFonts w:ascii="Arial" w:eastAsia="Arial" w:hAnsi="Arial" w:cs="Arial"/>
          <w:sz w:val="19"/>
          <w:szCs w:val="19"/>
          <w:lang w:val="pl-PL"/>
        </w:rPr>
        <w:lastRenderedPageBreak/>
        <w:t xml:space="preserve">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Zamawiający nie ponosi odpowiedzialności za zapłatę wynagrodzenia za roboty budowlane wykonane </w:t>
      </w:r>
      <w:r w:rsidRPr="006D0D5B">
        <w:rPr>
          <w:rFonts w:ascii="Arial" w:eastAsia="Arial" w:hAnsi="Arial" w:cs="Arial"/>
          <w:sz w:val="19"/>
          <w:szCs w:val="19"/>
          <w:lang w:val="pl-PL"/>
        </w:rPr>
        <w:lastRenderedPageBreak/>
        <w:t>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32A96902"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7</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07EAF737"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7B48A0">
        <w:rPr>
          <w:rFonts w:ascii="Arial" w:hAnsi="Arial" w:cs="Arial"/>
          <w:sz w:val="19"/>
          <w:szCs w:val="19"/>
        </w:rPr>
        <w:t>wysokości 1</w:t>
      </w:r>
      <w:r w:rsidR="00E2546B">
        <w:rPr>
          <w:rFonts w:ascii="Arial" w:hAnsi="Arial" w:cs="Arial"/>
          <w:sz w:val="19"/>
          <w:szCs w:val="19"/>
        </w:rPr>
        <w:t>0</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19322DDE"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E254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1CDED3F5"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18</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863D3C">
        <w:rPr>
          <w:rFonts w:ascii="Arial" w:hAnsi="Arial" w:cs="Arial"/>
          <w:sz w:val="19"/>
          <w:szCs w:val="19"/>
        </w:rPr>
        <w:t xml:space="preserve">ane prace ustala się na okres </w:t>
      </w:r>
      <w:r w:rsidR="000E54A1">
        <w:rPr>
          <w:rFonts w:ascii="Arial" w:hAnsi="Arial" w:cs="Arial"/>
          <w:b/>
          <w:sz w:val="19"/>
          <w:szCs w:val="19"/>
        </w:rPr>
        <w:t>…………</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lastRenderedPageBreak/>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F6E61D0"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19</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lastRenderedPageBreak/>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 xml:space="preserve">zmiana lub rezygnacja z podwykonawcy dotycząca podmiotu wskazanego w ofercie, na którego zasoby wykonawca powoływał się, na zasadach określonych w art. 26 ust. 2b ustawy </w:t>
      </w:r>
      <w:r w:rsidRPr="009D0225">
        <w:rPr>
          <w:rFonts w:ascii="Arial" w:hAnsi="Arial" w:cs="Arial"/>
          <w:sz w:val="19"/>
          <w:szCs w:val="19"/>
        </w:rPr>
        <w:lastRenderedPageBreak/>
        <w:t>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29EBFFF3" w:rsidR="009C2080" w:rsidRPr="009D0225" w:rsidRDefault="0025687F" w:rsidP="00352D4A">
      <w:pPr>
        <w:spacing w:line="276" w:lineRule="auto"/>
        <w:rPr>
          <w:rFonts w:ascii="Arial" w:hAnsi="Arial" w:cs="Arial"/>
          <w:sz w:val="19"/>
          <w:szCs w:val="19"/>
        </w:rPr>
      </w:pPr>
      <w:r>
        <w:rPr>
          <w:rFonts w:ascii="Arial" w:hAnsi="Arial" w:cs="Arial"/>
          <w:b/>
          <w:bCs/>
          <w:sz w:val="19"/>
          <w:szCs w:val="19"/>
        </w:rPr>
        <w:t>§ 20</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3055B5D3" w:rsidR="009C2080" w:rsidRPr="009D0225" w:rsidRDefault="0025687F" w:rsidP="00352D4A">
      <w:pPr>
        <w:tabs>
          <w:tab w:val="left" w:pos="426"/>
        </w:tabs>
        <w:spacing w:line="276" w:lineRule="auto"/>
        <w:jc w:val="both"/>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7D5960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2</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0B86E5C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3</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CAB5E" w14:textId="77777777" w:rsidR="000E703C" w:rsidRDefault="000E703C">
      <w:r>
        <w:separator/>
      </w:r>
    </w:p>
  </w:endnote>
  <w:endnote w:type="continuationSeparator" w:id="0">
    <w:p w14:paraId="1DD29789" w14:textId="77777777" w:rsidR="000E703C" w:rsidRDefault="000E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CBAD" w14:textId="77777777" w:rsidR="000E703C" w:rsidRDefault="000E703C">
      <w:r>
        <w:separator/>
      </w:r>
    </w:p>
  </w:footnote>
  <w:footnote w:type="continuationSeparator" w:id="0">
    <w:p w14:paraId="381E3F70" w14:textId="77777777" w:rsidR="000E703C" w:rsidRDefault="000E7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6423C6">
      <w:rPr>
        <w:rStyle w:val="Numerstrony"/>
        <w:noProof/>
        <w:sz w:val="20"/>
        <w:szCs w:val="20"/>
      </w:rPr>
      <w:t>4</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3109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E54A1"/>
    <w:rsid w:val="000E703C"/>
    <w:rsid w:val="000F59C2"/>
    <w:rsid w:val="000F6842"/>
    <w:rsid w:val="001165D1"/>
    <w:rsid w:val="001349A0"/>
    <w:rsid w:val="0014059D"/>
    <w:rsid w:val="00143333"/>
    <w:rsid w:val="00150C1C"/>
    <w:rsid w:val="0015661C"/>
    <w:rsid w:val="00157608"/>
    <w:rsid w:val="0016541E"/>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D4565"/>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35C8A"/>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B5298"/>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3C6"/>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B48A0"/>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19E"/>
    <w:rsid w:val="0082736B"/>
    <w:rsid w:val="00830707"/>
    <w:rsid w:val="00830D4D"/>
    <w:rsid w:val="008508C6"/>
    <w:rsid w:val="00861088"/>
    <w:rsid w:val="00861B32"/>
    <w:rsid w:val="00863D3C"/>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1EBC"/>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0B40"/>
    <w:rsid w:val="00B53EEC"/>
    <w:rsid w:val="00B625EC"/>
    <w:rsid w:val="00B6504C"/>
    <w:rsid w:val="00B65D12"/>
    <w:rsid w:val="00B717C7"/>
    <w:rsid w:val="00B73280"/>
    <w:rsid w:val="00B77B79"/>
    <w:rsid w:val="00B823A0"/>
    <w:rsid w:val="00B831A3"/>
    <w:rsid w:val="00B856B2"/>
    <w:rsid w:val="00B91923"/>
    <w:rsid w:val="00B97FB3"/>
    <w:rsid w:val="00BB0A2F"/>
    <w:rsid w:val="00BB32C8"/>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2546B"/>
    <w:rsid w:val="00E308BC"/>
    <w:rsid w:val="00E37F5A"/>
    <w:rsid w:val="00E425FB"/>
    <w:rsid w:val="00E4474D"/>
    <w:rsid w:val="00E44CFD"/>
    <w:rsid w:val="00E46C0D"/>
    <w:rsid w:val="00E5212F"/>
    <w:rsid w:val="00E534A4"/>
    <w:rsid w:val="00E534B4"/>
    <w:rsid w:val="00E53E6E"/>
    <w:rsid w:val="00E555E7"/>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E237D"/>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87697-039A-45B3-A141-47CE68EF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5747</Words>
  <Characters>34488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34</cp:revision>
  <cp:lastPrinted>2019-02-25T12:53:00Z</cp:lastPrinted>
  <dcterms:created xsi:type="dcterms:W3CDTF">2016-10-24T11:57:00Z</dcterms:created>
  <dcterms:modified xsi:type="dcterms:W3CDTF">2019-02-25T14:59:00Z</dcterms:modified>
</cp:coreProperties>
</file>