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146FB2D"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7820E1">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785A7140"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 projekt</w:t>
      </w:r>
    </w:p>
    <w:p w14:paraId="564BD3A7" w14:textId="77777777" w:rsidR="00E4474D" w:rsidRPr="00703DDF" w:rsidRDefault="00E4474D" w:rsidP="0061585C">
      <w:pPr>
        <w:rPr>
          <w:rFonts w:ascii="Arial" w:hAnsi="Arial" w:cs="Arial"/>
          <w:b/>
          <w:bCs/>
          <w:sz w:val="18"/>
          <w:szCs w:val="18"/>
        </w:rPr>
      </w:pPr>
    </w:p>
    <w:p w14:paraId="36038689" w14:textId="46B39588"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7820E1">
        <w:rPr>
          <w:rFonts w:ascii="Arial" w:hAnsi="Arial" w:cs="Arial"/>
          <w:sz w:val="18"/>
          <w:szCs w:val="18"/>
        </w:rPr>
        <w:t xml:space="preserve"> </w:t>
      </w:r>
      <w:r w:rsidR="002A1798">
        <w:rPr>
          <w:rFonts w:ascii="Arial" w:hAnsi="Arial" w:cs="Arial"/>
          <w:sz w:val="18"/>
          <w:szCs w:val="18"/>
        </w:rPr>
        <w:t>.</w:t>
      </w:r>
      <w:r w:rsidR="007820E1">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05E8505D" w14:textId="77777777" w:rsidR="007820E1" w:rsidRDefault="007820E1" w:rsidP="0061585C">
      <w:pPr>
        <w:rPr>
          <w:rFonts w:ascii="Arial" w:hAnsi="Arial" w:cs="Arial"/>
          <w:sz w:val="18"/>
          <w:szCs w:val="18"/>
        </w:rPr>
      </w:pP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12B0E11B"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2017</w:t>
      </w:r>
      <w:r w:rsidR="002A1798">
        <w:rPr>
          <w:rFonts w:ascii="Arial" w:hAnsi="Arial" w:cs="Arial"/>
          <w:sz w:val="18"/>
          <w:szCs w:val="18"/>
        </w:rPr>
        <w:t xml:space="preserve"> </w:t>
      </w:r>
      <w:r w:rsidR="00E4474D" w:rsidRPr="00703DDF">
        <w:rPr>
          <w:rFonts w:ascii="Arial" w:hAnsi="Arial" w:cs="Arial"/>
          <w:sz w:val="18"/>
          <w:szCs w:val="18"/>
        </w:rPr>
        <w:t>roku.</w:t>
      </w:r>
    </w:p>
    <w:p w14:paraId="25BA6DE3" w14:textId="5565543D" w:rsidR="00615800" w:rsidRDefault="00E4474D" w:rsidP="00542D2C">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542D2C" w:rsidRPr="00542D2C">
        <w:rPr>
          <w:rFonts w:ascii="Arial" w:hAnsi="Arial" w:cs="Arial"/>
          <w:sz w:val="18"/>
          <w:szCs w:val="18"/>
        </w:rPr>
        <w:t>Budowa drogi dojazdowej w Strykówku z materiału Wykonawcy</w:t>
      </w:r>
    </w:p>
    <w:p w14:paraId="4FE31339" w14:textId="77777777" w:rsidR="00542D2C" w:rsidRPr="00542D2C" w:rsidRDefault="00542D2C" w:rsidP="00542D2C">
      <w:pPr>
        <w:pStyle w:val="Nagwek"/>
        <w:rPr>
          <w:rFonts w:ascii="Arial" w:hAnsi="Arial" w:cs="Arial"/>
          <w:b/>
          <w:sz w:val="18"/>
          <w:szCs w:val="18"/>
        </w:rPr>
      </w:pPr>
    </w:p>
    <w:p w14:paraId="7C166F82" w14:textId="7777777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15800" w:rsidRPr="00703DDF">
        <w:rPr>
          <w:rFonts w:ascii="Arial" w:hAnsi="Arial" w:cs="Arial"/>
          <w:b/>
          <w:sz w:val="18"/>
          <w:szCs w:val="18"/>
        </w:rPr>
        <w:t>Zakres prac obejmuje roboty budowlano montażowe polegające na:</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Default="00B17EEA" w:rsidP="00B17EEA">
      <w:pPr>
        <w:tabs>
          <w:tab w:val="left" w:pos="705"/>
        </w:tabs>
        <w:rPr>
          <w:rFonts w:ascii="Arial" w:hAnsi="Arial" w:cs="Arial"/>
          <w:sz w:val="18"/>
          <w:szCs w:val="18"/>
        </w:rPr>
      </w:pPr>
      <w:r w:rsidRPr="00703DDF">
        <w:rPr>
          <w:rFonts w:ascii="Arial" w:hAnsi="Arial" w:cs="Arial"/>
          <w:sz w:val="18"/>
          <w:szCs w:val="18"/>
        </w:rPr>
        <w:tab/>
      </w:r>
    </w:p>
    <w:p w14:paraId="0D40E409" w14:textId="77777777" w:rsidR="00542D2C" w:rsidRPr="00542D2C" w:rsidRDefault="00542D2C" w:rsidP="00B50AEB">
      <w:pPr>
        <w:numPr>
          <w:ilvl w:val="0"/>
          <w:numId w:val="29"/>
        </w:numPr>
        <w:tabs>
          <w:tab w:val="left" w:pos="360"/>
        </w:tabs>
        <w:suppressAutoHyphens/>
        <w:rPr>
          <w:rFonts w:ascii="Arial" w:hAnsi="Arial" w:cs="Arial"/>
          <w:b/>
          <w:iCs/>
          <w:sz w:val="18"/>
          <w:szCs w:val="18"/>
          <w:lang w:eastAsia="zh-CN"/>
        </w:rPr>
      </w:pPr>
      <w:r w:rsidRPr="00542D2C">
        <w:rPr>
          <w:rFonts w:ascii="Arial" w:hAnsi="Arial" w:cs="Arial"/>
          <w:b/>
          <w:iCs/>
          <w:sz w:val="18"/>
          <w:szCs w:val="18"/>
          <w:lang w:eastAsia="zh-CN"/>
        </w:rPr>
        <w:t>Roboty przygotowawcze i rozbiórkowe</w:t>
      </w:r>
    </w:p>
    <w:p w14:paraId="0D78EC83" w14:textId="77777777" w:rsidR="00542D2C" w:rsidRPr="00542D2C" w:rsidRDefault="00542D2C" w:rsidP="00B50AEB">
      <w:pPr>
        <w:numPr>
          <w:ilvl w:val="0"/>
          <w:numId w:val="28"/>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 xml:space="preserve">Zdjęcie ziemi urodzajnej </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m3</w:t>
      </w:r>
      <w:r w:rsidRPr="00542D2C">
        <w:rPr>
          <w:rFonts w:ascii="Arial" w:eastAsia="Calibri" w:hAnsi="Arial" w:cs="Arial"/>
          <w:sz w:val="18"/>
          <w:szCs w:val="18"/>
          <w:lang w:eastAsia="en-US"/>
        </w:rPr>
        <w:tab/>
        <w:t>2281,510</w:t>
      </w:r>
    </w:p>
    <w:p w14:paraId="73161CC0" w14:textId="77777777" w:rsidR="00542D2C" w:rsidRPr="00542D2C" w:rsidRDefault="00542D2C" w:rsidP="00B50AEB">
      <w:pPr>
        <w:numPr>
          <w:ilvl w:val="0"/>
          <w:numId w:val="28"/>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Zdjęcie nasypu niekontrolowanego</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m2</w:t>
      </w:r>
      <w:r w:rsidRPr="00542D2C">
        <w:rPr>
          <w:rFonts w:ascii="Arial" w:eastAsia="Calibri" w:hAnsi="Arial" w:cs="Arial"/>
          <w:sz w:val="18"/>
          <w:szCs w:val="18"/>
          <w:lang w:eastAsia="en-US"/>
        </w:rPr>
        <w:tab/>
        <w:t>218,510</w:t>
      </w:r>
    </w:p>
    <w:p w14:paraId="3259F6AD" w14:textId="77777777" w:rsidR="00542D2C" w:rsidRPr="00542D2C" w:rsidRDefault="00542D2C" w:rsidP="00B50AEB">
      <w:pPr>
        <w:numPr>
          <w:ilvl w:val="0"/>
          <w:numId w:val="28"/>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Rozebranie nawierzchni bitumicznej</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m2</w:t>
      </w:r>
      <w:r w:rsidRPr="00542D2C">
        <w:rPr>
          <w:rFonts w:ascii="Arial" w:eastAsia="Calibri" w:hAnsi="Arial" w:cs="Arial"/>
          <w:sz w:val="18"/>
          <w:szCs w:val="18"/>
          <w:lang w:eastAsia="en-US"/>
        </w:rPr>
        <w:tab/>
        <w:t>51,590</w:t>
      </w:r>
    </w:p>
    <w:p w14:paraId="40590751" w14:textId="44472DE4" w:rsidR="00542D2C" w:rsidRPr="00542D2C" w:rsidRDefault="00542D2C" w:rsidP="00B50AEB">
      <w:pPr>
        <w:numPr>
          <w:ilvl w:val="0"/>
          <w:numId w:val="28"/>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Rozebranie podbudowę z tłucznia 15 cm</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51,590</w:t>
      </w:r>
    </w:p>
    <w:p w14:paraId="327A784E" w14:textId="79B869CD" w:rsidR="00542D2C" w:rsidRPr="00542D2C" w:rsidRDefault="00542D2C" w:rsidP="00B50AEB">
      <w:pPr>
        <w:numPr>
          <w:ilvl w:val="0"/>
          <w:numId w:val="28"/>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Ścinanie drzew bez utrudnień</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szt.</w:t>
      </w:r>
      <w:r w:rsidRPr="00542D2C">
        <w:rPr>
          <w:rFonts w:ascii="Arial" w:eastAsia="Calibri" w:hAnsi="Arial" w:cs="Arial"/>
          <w:sz w:val="18"/>
          <w:szCs w:val="18"/>
          <w:lang w:eastAsia="en-US"/>
        </w:rPr>
        <w:tab/>
        <w:t xml:space="preserve">1,000 </w:t>
      </w:r>
    </w:p>
    <w:p w14:paraId="1F6625EC" w14:textId="77777777" w:rsidR="00542D2C" w:rsidRPr="00542D2C" w:rsidRDefault="00542D2C" w:rsidP="00B50AEB">
      <w:pPr>
        <w:numPr>
          <w:ilvl w:val="0"/>
          <w:numId w:val="29"/>
        </w:numPr>
        <w:suppressAutoHyphens/>
        <w:spacing w:after="160" w:line="259" w:lineRule="auto"/>
        <w:contextualSpacing/>
        <w:rPr>
          <w:rFonts w:ascii="Arial" w:eastAsia="Calibri" w:hAnsi="Arial" w:cs="Arial"/>
          <w:b/>
          <w:sz w:val="18"/>
          <w:szCs w:val="18"/>
          <w:lang w:eastAsia="en-US"/>
        </w:rPr>
      </w:pPr>
      <w:r w:rsidRPr="00542D2C">
        <w:rPr>
          <w:rFonts w:ascii="Arial" w:eastAsia="Calibri" w:hAnsi="Arial" w:cs="Arial"/>
          <w:b/>
          <w:sz w:val="18"/>
          <w:szCs w:val="18"/>
          <w:lang w:eastAsia="en-US"/>
        </w:rPr>
        <w:t>Roboty pomiarowe i ziemne</w:t>
      </w:r>
    </w:p>
    <w:p w14:paraId="2CC9A38E" w14:textId="32BFE5D8" w:rsidR="00542D2C" w:rsidRPr="00542D2C" w:rsidRDefault="00542D2C" w:rsidP="00B50AEB">
      <w:pPr>
        <w:numPr>
          <w:ilvl w:val="0"/>
          <w:numId w:val="30"/>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Odtworzenie trasy i punktów wysokościowych</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km</w:t>
      </w:r>
      <w:r w:rsidRPr="00542D2C">
        <w:rPr>
          <w:rFonts w:ascii="Arial" w:eastAsia="Calibri" w:hAnsi="Arial" w:cs="Arial"/>
          <w:sz w:val="18"/>
          <w:szCs w:val="18"/>
          <w:lang w:eastAsia="en-US"/>
        </w:rPr>
        <w:tab/>
        <w:t>0,662</w:t>
      </w:r>
    </w:p>
    <w:p w14:paraId="4E9449BD" w14:textId="77777777" w:rsidR="00542D2C" w:rsidRPr="00542D2C" w:rsidRDefault="00542D2C" w:rsidP="00B50AEB">
      <w:pPr>
        <w:numPr>
          <w:ilvl w:val="0"/>
          <w:numId w:val="30"/>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Nasypy wykonywane mechanicznie w gruncie z tran. urobku</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m3</w:t>
      </w:r>
      <w:r w:rsidRPr="00542D2C">
        <w:rPr>
          <w:rFonts w:ascii="Arial" w:eastAsia="Calibri" w:hAnsi="Arial" w:cs="Arial"/>
          <w:sz w:val="18"/>
          <w:szCs w:val="18"/>
          <w:lang w:eastAsia="en-US"/>
        </w:rPr>
        <w:tab/>
        <w:t>1275,720</w:t>
      </w:r>
    </w:p>
    <w:p w14:paraId="29DDB89E" w14:textId="77777777" w:rsidR="00542D2C" w:rsidRPr="00542D2C" w:rsidRDefault="00542D2C" w:rsidP="00B50AEB">
      <w:pPr>
        <w:numPr>
          <w:ilvl w:val="0"/>
          <w:numId w:val="30"/>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 xml:space="preserve">Wykopy wykonywane mechanicznie z tran. urobku </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m3</w:t>
      </w:r>
      <w:r w:rsidRPr="00542D2C">
        <w:rPr>
          <w:rFonts w:ascii="Arial" w:eastAsia="Calibri" w:hAnsi="Arial" w:cs="Arial"/>
          <w:sz w:val="18"/>
          <w:szCs w:val="18"/>
          <w:lang w:eastAsia="en-US"/>
        </w:rPr>
        <w:tab/>
        <w:t>80,830</w:t>
      </w:r>
    </w:p>
    <w:p w14:paraId="3A0060E3" w14:textId="77777777" w:rsidR="00542D2C" w:rsidRPr="00542D2C" w:rsidRDefault="00542D2C" w:rsidP="00B50AEB">
      <w:pPr>
        <w:numPr>
          <w:ilvl w:val="0"/>
          <w:numId w:val="29"/>
        </w:numPr>
        <w:suppressAutoHyphens/>
        <w:spacing w:after="160" w:line="259" w:lineRule="auto"/>
        <w:contextualSpacing/>
        <w:rPr>
          <w:rFonts w:ascii="Arial" w:eastAsia="Calibri" w:hAnsi="Arial" w:cs="Arial"/>
          <w:b/>
          <w:sz w:val="18"/>
          <w:szCs w:val="18"/>
          <w:lang w:eastAsia="en-US"/>
        </w:rPr>
      </w:pPr>
      <w:r w:rsidRPr="00542D2C">
        <w:rPr>
          <w:rFonts w:ascii="Arial" w:eastAsia="Calibri" w:hAnsi="Arial" w:cs="Arial"/>
          <w:b/>
          <w:sz w:val="18"/>
          <w:szCs w:val="18"/>
          <w:lang w:eastAsia="en-US"/>
        </w:rPr>
        <w:t>Jezdnia</w:t>
      </w:r>
    </w:p>
    <w:p w14:paraId="3B91B5FD" w14:textId="77777777" w:rsidR="00542D2C" w:rsidRPr="00542D2C" w:rsidRDefault="00542D2C" w:rsidP="00B50AEB">
      <w:pPr>
        <w:numPr>
          <w:ilvl w:val="0"/>
          <w:numId w:val="31"/>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 xml:space="preserve">Mechanicznie profilowanie i zagęszczenie podłoża </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m2</w:t>
      </w:r>
      <w:r w:rsidRPr="00542D2C">
        <w:rPr>
          <w:rFonts w:ascii="Arial" w:eastAsia="Calibri" w:hAnsi="Arial" w:cs="Arial"/>
          <w:sz w:val="18"/>
          <w:szCs w:val="18"/>
          <w:lang w:eastAsia="en-US"/>
        </w:rPr>
        <w:tab/>
        <w:t>4220,500</w:t>
      </w:r>
    </w:p>
    <w:p w14:paraId="5FFF765C" w14:textId="06E1596D" w:rsidR="00542D2C" w:rsidRPr="00542D2C" w:rsidRDefault="00542D2C" w:rsidP="00B50AEB">
      <w:pPr>
        <w:numPr>
          <w:ilvl w:val="0"/>
          <w:numId w:val="31"/>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Warstwa z piasku średniego stabilizowanego mechanicznie</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4220,500</w:t>
      </w:r>
    </w:p>
    <w:p w14:paraId="666CA440" w14:textId="0E3068CB" w:rsidR="00542D2C" w:rsidRPr="00542D2C" w:rsidRDefault="00542D2C" w:rsidP="00B50AEB">
      <w:pPr>
        <w:numPr>
          <w:ilvl w:val="0"/>
          <w:numId w:val="31"/>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Warstwa z piasku średniego stabilizowanego cementem</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4055,271</w:t>
      </w:r>
    </w:p>
    <w:p w14:paraId="70E61C9D" w14:textId="7230DE14" w:rsidR="00542D2C" w:rsidRPr="00542D2C" w:rsidRDefault="00542D2C" w:rsidP="00B50AEB">
      <w:pPr>
        <w:numPr>
          <w:ilvl w:val="0"/>
          <w:numId w:val="31"/>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Podbudowa kruszywa łamanego</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4055,271</w:t>
      </w:r>
    </w:p>
    <w:p w14:paraId="46E4AC6B" w14:textId="77777777" w:rsidR="00542D2C" w:rsidRPr="00542D2C" w:rsidRDefault="00542D2C" w:rsidP="00B50AEB">
      <w:pPr>
        <w:numPr>
          <w:ilvl w:val="0"/>
          <w:numId w:val="31"/>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Nawierzchnia z kostki brukowej betonowej</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m2</w:t>
      </w:r>
      <w:r w:rsidRPr="00542D2C">
        <w:rPr>
          <w:rFonts w:ascii="Arial" w:eastAsia="Calibri" w:hAnsi="Arial" w:cs="Arial"/>
          <w:sz w:val="18"/>
          <w:szCs w:val="18"/>
          <w:lang w:eastAsia="en-US"/>
        </w:rPr>
        <w:tab/>
        <w:t>4055,271</w:t>
      </w:r>
    </w:p>
    <w:p w14:paraId="4DB7689A" w14:textId="77777777" w:rsidR="00542D2C" w:rsidRPr="00542D2C" w:rsidRDefault="00542D2C" w:rsidP="00B50AEB">
      <w:pPr>
        <w:numPr>
          <w:ilvl w:val="0"/>
          <w:numId w:val="29"/>
        </w:numPr>
        <w:suppressAutoHyphens/>
        <w:spacing w:after="160" w:line="259" w:lineRule="auto"/>
        <w:contextualSpacing/>
        <w:rPr>
          <w:rFonts w:ascii="Arial" w:eastAsia="Calibri" w:hAnsi="Arial" w:cs="Arial"/>
          <w:b/>
          <w:sz w:val="18"/>
          <w:szCs w:val="18"/>
          <w:lang w:eastAsia="en-US"/>
        </w:rPr>
      </w:pPr>
      <w:r w:rsidRPr="00542D2C">
        <w:rPr>
          <w:rFonts w:ascii="Arial" w:eastAsia="Calibri" w:hAnsi="Arial" w:cs="Arial"/>
          <w:b/>
          <w:sz w:val="18"/>
          <w:szCs w:val="18"/>
          <w:lang w:eastAsia="en-US"/>
        </w:rPr>
        <w:t>Zjazd</w:t>
      </w:r>
    </w:p>
    <w:p w14:paraId="1034ACB9" w14:textId="57C49728" w:rsidR="00542D2C" w:rsidRPr="00542D2C" w:rsidRDefault="00542D2C" w:rsidP="00B50AEB">
      <w:pPr>
        <w:numPr>
          <w:ilvl w:val="0"/>
          <w:numId w:val="32"/>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 xml:space="preserve">Mechaniczne profilowanie i zagęszczenie podłoża </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31,830</w:t>
      </w:r>
    </w:p>
    <w:p w14:paraId="4FD2E157" w14:textId="2BE7B6F8" w:rsidR="00542D2C" w:rsidRPr="00542D2C" w:rsidRDefault="00542D2C" w:rsidP="00B50AEB">
      <w:pPr>
        <w:numPr>
          <w:ilvl w:val="0"/>
          <w:numId w:val="32"/>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Warstwa z piasku średniego stabilizowanego mechanicznie</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31,830</w:t>
      </w:r>
    </w:p>
    <w:p w14:paraId="681B9FEB" w14:textId="73630EF9" w:rsidR="00542D2C" w:rsidRPr="00542D2C" w:rsidRDefault="00542D2C" w:rsidP="00B50AEB">
      <w:pPr>
        <w:numPr>
          <w:ilvl w:val="0"/>
          <w:numId w:val="32"/>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Warstwa z piasku średniego stabilizowanego cementem</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30,870</w:t>
      </w:r>
    </w:p>
    <w:p w14:paraId="06D2E7FF" w14:textId="3A426037" w:rsidR="00542D2C" w:rsidRPr="00542D2C" w:rsidRDefault="00542D2C" w:rsidP="00B50AEB">
      <w:pPr>
        <w:numPr>
          <w:ilvl w:val="0"/>
          <w:numId w:val="32"/>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Podbudowa kruszywa łamanego stabilizowanego mechanicznie</w:t>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30,870</w:t>
      </w:r>
    </w:p>
    <w:p w14:paraId="641ACB25" w14:textId="1F71FE44" w:rsidR="00542D2C" w:rsidRPr="00542D2C" w:rsidRDefault="00542D2C" w:rsidP="00B50AEB">
      <w:pPr>
        <w:numPr>
          <w:ilvl w:val="0"/>
          <w:numId w:val="32"/>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Nawierzchnie z kostki brukowej betonowej grub. 8 cm</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30,870</w:t>
      </w:r>
    </w:p>
    <w:p w14:paraId="72F03C68" w14:textId="77777777" w:rsidR="00542D2C" w:rsidRPr="00542D2C" w:rsidRDefault="00542D2C" w:rsidP="00B50AEB">
      <w:pPr>
        <w:numPr>
          <w:ilvl w:val="0"/>
          <w:numId w:val="29"/>
        </w:numPr>
        <w:suppressAutoHyphens/>
        <w:spacing w:after="160" w:line="259" w:lineRule="auto"/>
        <w:contextualSpacing/>
        <w:rPr>
          <w:rFonts w:ascii="Arial" w:eastAsia="Calibri" w:hAnsi="Arial" w:cs="Arial"/>
          <w:b/>
          <w:sz w:val="18"/>
          <w:szCs w:val="18"/>
          <w:lang w:eastAsia="en-US"/>
        </w:rPr>
      </w:pPr>
      <w:r w:rsidRPr="00542D2C">
        <w:rPr>
          <w:rFonts w:ascii="Arial" w:eastAsia="Calibri" w:hAnsi="Arial" w:cs="Arial"/>
          <w:b/>
          <w:sz w:val="18"/>
          <w:szCs w:val="18"/>
          <w:lang w:eastAsia="en-US"/>
        </w:rPr>
        <w:t>Krawężniki betonowe</w:t>
      </w:r>
    </w:p>
    <w:p w14:paraId="054A4630" w14:textId="77777777" w:rsidR="00542D2C" w:rsidRPr="00542D2C" w:rsidRDefault="00542D2C" w:rsidP="00B50AEB">
      <w:pPr>
        <w:numPr>
          <w:ilvl w:val="0"/>
          <w:numId w:val="33"/>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 xml:space="preserve">Oporniki betonowe o wymiarach 12x25 cm </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m</w:t>
      </w:r>
      <w:r w:rsidRPr="00542D2C">
        <w:rPr>
          <w:rFonts w:ascii="Arial" w:eastAsia="Calibri" w:hAnsi="Arial" w:cs="Arial"/>
          <w:sz w:val="18"/>
          <w:szCs w:val="18"/>
          <w:lang w:eastAsia="en-US"/>
        </w:rPr>
        <w:tab/>
        <w:t>1395,610</w:t>
      </w:r>
    </w:p>
    <w:p w14:paraId="0D736234" w14:textId="77777777" w:rsidR="00542D2C" w:rsidRPr="00542D2C" w:rsidRDefault="00542D2C" w:rsidP="00B50AEB">
      <w:pPr>
        <w:numPr>
          <w:ilvl w:val="0"/>
          <w:numId w:val="29"/>
        </w:numPr>
        <w:suppressAutoHyphens/>
        <w:spacing w:after="160" w:line="259" w:lineRule="auto"/>
        <w:contextualSpacing/>
        <w:rPr>
          <w:rFonts w:ascii="Arial" w:eastAsia="Calibri" w:hAnsi="Arial" w:cs="Arial"/>
          <w:b/>
          <w:sz w:val="18"/>
          <w:szCs w:val="18"/>
          <w:lang w:eastAsia="en-US"/>
        </w:rPr>
      </w:pPr>
      <w:r w:rsidRPr="00542D2C">
        <w:rPr>
          <w:rFonts w:ascii="Arial" w:eastAsia="Calibri" w:hAnsi="Arial" w:cs="Arial"/>
          <w:b/>
          <w:sz w:val="18"/>
          <w:szCs w:val="18"/>
          <w:lang w:eastAsia="en-US"/>
        </w:rPr>
        <w:t>Oznakowanie</w:t>
      </w:r>
    </w:p>
    <w:p w14:paraId="1E8B124D" w14:textId="733439D6" w:rsidR="00542D2C" w:rsidRPr="00542D2C" w:rsidRDefault="00542D2C" w:rsidP="00B50AEB">
      <w:pPr>
        <w:numPr>
          <w:ilvl w:val="0"/>
          <w:numId w:val="34"/>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Oznakowanie poziome jezdni grubowarstwowe</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m2</w:t>
      </w:r>
      <w:r w:rsidRPr="00542D2C">
        <w:rPr>
          <w:rFonts w:ascii="Arial" w:eastAsia="Calibri" w:hAnsi="Arial" w:cs="Arial"/>
          <w:sz w:val="18"/>
          <w:szCs w:val="18"/>
          <w:lang w:eastAsia="en-US"/>
        </w:rPr>
        <w:tab/>
        <w:t>7,440</w:t>
      </w:r>
    </w:p>
    <w:p w14:paraId="5849CA4B" w14:textId="359BBD5B" w:rsidR="00542D2C" w:rsidRPr="00542D2C" w:rsidRDefault="00542D2C" w:rsidP="00B50AEB">
      <w:pPr>
        <w:numPr>
          <w:ilvl w:val="0"/>
          <w:numId w:val="34"/>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Ustawienie słupów z rur stalowych o średnicy 50 mm dla zn. drog.</w:t>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szt.</w:t>
      </w:r>
      <w:r w:rsidRPr="00542D2C">
        <w:rPr>
          <w:rFonts w:ascii="Arial" w:eastAsia="Calibri" w:hAnsi="Arial" w:cs="Arial"/>
          <w:sz w:val="18"/>
          <w:szCs w:val="18"/>
          <w:lang w:eastAsia="en-US"/>
        </w:rPr>
        <w:tab/>
        <w:t>1,000</w:t>
      </w:r>
    </w:p>
    <w:p w14:paraId="21E29389" w14:textId="77777777" w:rsidR="00542D2C" w:rsidRPr="00542D2C" w:rsidRDefault="00542D2C" w:rsidP="00B50AEB">
      <w:pPr>
        <w:numPr>
          <w:ilvl w:val="0"/>
          <w:numId w:val="34"/>
        </w:numPr>
        <w:suppressAutoHyphens/>
        <w:spacing w:after="160" w:line="259" w:lineRule="auto"/>
        <w:contextualSpacing/>
        <w:rPr>
          <w:rFonts w:ascii="Arial" w:eastAsia="Calibri" w:hAnsi="Arial" w:cs="Arial"/>
          <w:sz w:val="18"/>
          <w:szCs w:val="18"/>
          <w:lang w:eastAsia="en-US"/>
        </w:rPr>
      </w:pPr>
      <w:r w:rsidRPr="00542D2C">
        <w:rPr>
          <w:rFonts w:ascii="Arial" w:eastAsia="Calibri" w:hAnsi="Arial" w:cs="Arial"/>
          <w:sz w:val="18"/>
          <w:szCs w:val="18"/>
          <w:lang w:eastAsia="en-US"/>
        </w:rPr>
        <w:t>Oznakowanie pionowe tablice typu A</w:t>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r>
      <w:r w:rsidRPr="00542D2C">
        <w:rPr>
          <w:rFonts w:ascii="Arial" w:eastAsia="Calibri" w:hAnsi="Arial" w:cs="Arial"/>
          <w:sz w:val="18"/>
          <w:szCs w:val="18"/>
          <w:lang w:eastAsia="en-US"/>
        </w:rPr>
        <w:tab/>
        <w:t>szt.</w:t>
      </w:r>
      <w:r w:rsidRPr="00542D2C">
        <w:rPr>
          <w:rFonts w:ascii="Arial" w:eastAsia="Calibri" w:hAnsi="Arial" w:cs="Arial"/>
          <w:sz w:val="18"/>
          <w:szCs w:val="18"/>
          <w:lang w:eastAsia="en-US"/>
        </w:rPr>
        <w:tab/>
        <w:t>1,000</w:t>
      </w:r>
    </w:p>
    <w:p w14:paraId="0C42C504" w14:textId="77777777" w:rsidR="00542D2C" w:rsidRPr="00542D2C" w:rsidRDefault="00542D2C" w:rsidP="00B50AEB">
      <w:pPr>
        <w:numPr>
          <w:ilvl w:val="0"/>
          <w:numId w:val="29"/>
        </w:numPr>
        <w:suppressAutoHyphens/>
        <w:spacing w:after="160" w:line="259" w:lineRule="auto"/>
        <w:contextualSpacing/>
        <w:rPr>
          <w:rFonts w:ascii="Arial" w:eastAsia="Calibri" w:hAnsi="Arial" w:cs="Arial"/>
          <w:b/>
          <w:sz w:val="18"/>
          <w:szCs w:val="18"/>
          <w:lang w:eastAsia="en-US"/>
        </w:rPr>
      </w:pPr>
      <w:r w:rsidRPr="00542D2C">
        <w:rPr>
          <w:rFonts w:ascii="Arial" w:eastAsia="Calibri" w:hAnsi="Arial" w:cs="Arial"/>
          <w:b/>
          <w:sz w:val="18"/>
          <w:szCs w:val="18"/>
          <w:lang w:eastAsia="en-US"/>
        </w:rPr>
        <w:t>Roboty różne</w:t>
      </w:r>
    </w:p>
    <w:p w14:paraId="788CE08C" w14:textId="32BC1437" w:rsidR="00542D2C" w:rsidRPr="00542D2C" w:rsidRDefault="00542D2C" w:rsidP="00B50AEB">
      <w:pPr>
        <w:numPr>
          <w:ilvl w:val="0"/>
          <w:numId w:val="35"/>
        </w:numPr>
        <w:tabs>
          <w:tab w:val="left" w:pos="568"/>
        </w:tabs>
        <w:suppressAutoHyphens/>
        <w:rPr>
          <w:rFonts w:ascii="Arial" w:hAnsi="Arial" w:cs="Arial"/>
          <w:b/>
          <w:iCs/>
          <w:sz w:val="18"/>
          <w:szCs w:val="18"/>
          <w:u w:val="single"/>
          <w:lang w:eastAsia="zh-CN"/>
        </w:rPr>
      </w:pPr>
      <w:r w:rsidRPr="00542D2C">
        <w:rPr>
          <w:rFonts w:ascii="Arial" w:eastAsia="Calibri" w:hAnsi="Arial" w:cs="Arial"/>
          <w:sz w:val="18"/>
          <w:szCs w:val="18"/>
          <w:lang w:eastAsia="en-US"/>
        </w:rPr>
        <w:t>Utwardzenie pobocza kruszywem łamanym stab. Mechaniczne</w:t>
      </w:r>
      <w:r w:rsidRPr="00542D2C">
        <w:rPr>
          <w:rFonts w:ascii="Arial" w:eastAsia="Calibri" w:hAnsi="Arial" w:cs="Arial"/>
          <w:sz w:val="18"/>
          <w:szCs w:val="18"/>
          <w:lang w:eastAsia="en-US"/>
        </w:rPr>
        <w:tab/>
      </w:r>
      <w:r w:rsidR="00DB462D">
        <w:rPr>
          <w:rFonts w:ascii="Arial" w:eastAsia="Calibri" w:hAnsi="Arial" w:cs="Arial"/>
          <w:sz w:val="18"/>
          <w:szCs w:val="18"/>
          <w:lang w:eastAsia="en-US"/>
        </w:rPr>
        <w:tab/>
      </w:r>
      <w:r w:rsidRPr="00542D2C">
        <w:rPr>
          <w:rFonts w:ascii="Arial" w:eastAsia="Calibri" w:hAnsi="Arial" w:cs="Arial"/>
          <w:sz w:val="18"/>
          <w:szCs w:val="18"/>
          <w:lang w:eastAsia="en-US"/>
        </w:rPr>
        <w:t>m3</w:t>
      </w:r>
      <w:r w:rsidRPr="00542D2C">
        <w:rPr>
          <w:rFonts w:ascii="Arial" w:eastAsia="Calibri" w:hAnsi="Arial" w:cs="Arial"/>
          <w:sz w:val="18"/>
          <w:szCs w:val="18"/>
          <w:lang w:eastAsia="en-US"/>
        </w:rPr>
        <w:tab/>
        <w:t>106,325</w:t>
      </w:r>
    </w:p>
    <w:p w14:paraId="577A295C" w14:textId="77777777" w:rsidR="00542D2C" w:rsidRPr="00703DDF" w:rsidRDefault="00542D2C" w:rsidP="00B17EEA">
      <w:pPr>
        <w:tabs>
          <w:tab w:val="left" w:pos="705"/>
        </w:tabs>
        <w:rPr>
          <w:rFonts w:ascii="Arial" w:hAnsi="Arial" w:cs="Arial"/>
          <w:sz w:val="18"/>
          <w:szCs w:val="18"/>
        </w:rPr>
      </w:pPr>
    </w:p>
    <w:p w14:paraId="29F29C7F" w14:textId="77777777" w:rsidR="00615800" w:rsidRPr="00703DDF" w:rsidRDefault="00615800" w:rsidP="00615800">
      <w:pPr>
        <w:rPr>
          <w:rFonts w:ascii="Arial" w:hAnsi="Arial" w:cs="Arial"/>
          <w:sz w:val="18"/>
          <w:szCs w:val="18"/>
        </w:rPr>
      </w:pPr>
    </w:p>
    <w:p w14:paraId="5B6A6CEE" w14:textId="5A82A373" w:rsidR="00615800" w:rsidRPr="00542D2C" w:rsidRDefault="00615800" w:rsidP="00B50AEB">
      <w:pPr>
        <w:pStyle w:val="Akapitzlist"/>
        <w:numPr>
          <w:ilvl w:val="0"/>
          <w:numId w:val="29"/>
        </w:numPr>
        <w:ind w:left="567" w:hanging="141"/>
        <w:rPr>
          <w:rFonts w:ascii="Arial" w:hAnsi="Arial" w:cs="Arial"/>
          <w:sz w:val="18"/>
          <w:szCs w:val="18"/>
        </w:rPr>
      </w:pPr>
      <w:r w:rsidRPr="00542D2C">
        <w:rPr>
          <w:rFonts w:ascii="Arial" w:hAnsi="Arial" w:cs="Arial"/>
          <w:sz w:val="18"/>
          <w:szCs w:val="18"/>
        </w:rPr>
        <w:t xml:space="preserve">Pozostałe prace </w:t>
      </w:r>
      <w:r w:rsidR="00DB289F" w:rsidRPr="00542D2C">
        <w:rPr>
          <w:rFonts w:ascii="Arial" w:hAnsi="Arial" w:cs="Arial"/>
          <w:sz w:val="18"/>
          <w:szCs w:val="18"/>
        </w:rPr>
        <w:t xml:space="preserve">Wykonawca wykona </w:t>
      </w:r>
      <w:r w:rsidRPr="00542D2C">
        <w:rPr>
          <w:rFonts w:ascii="Arial" w:hAnsi="Arial" w:cs="Arial"/>
          <w:sz w:val="18"/>
          <w:szCs w:val="18"/>
        </w:rPr>
        <w:t>zgodnie z dokumentacją przetargową.</w:t>
      </w:r>
    </w:p>
    <w:p w14:paraId="1CE1DA87" w14:textId="77777777" w:rsidR="00615800" w:rsidRPr="00DB289F" w:rsidRDefault="00615800" w:rsidP="00B50AEB">
      <w:pPr>
        <w:pStyle w:val="Akapitzlist"/>
        <w:numPr>
          <w:ilvl w:val="0"/>
          <w:numId w:val="29"/>
        </w:numPr>
        <w:ind w:left="567" w:hanging="141"/>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5F900D3F" w:rsidR="00615800" w:rsidRPr="00542D2C" w:rsidRDefault="00615800" w:rsidP="00B50AEB">
      <w:pPr>
        <w:pStyle w:val="Akapitzlist"/>
        <w:numPr>
          <w:ilvl w:val="0"/>
          <w:numId w:val="29"/>
        </w:numPr>
        <w:jc w:val="both"/>
        <w:rPr>
          <w:rFonts w:ascii="Arial" w:hAnsi="Arial" w:cs="Arial"/>
          <w:b/>
          <w:sz w:val="18"/>
          <w:szCs w:val="18"/>
        </w:rPr>
      </w:pPr>
      <w:r w:rsidRPr="00542D2C">
        <w:rPr>
          <w:rFonts w:ascii="Arial" w:hAnsi="Arial" w:cs="Arial"/>
          <w:b/>
          <w:sz w:val="18"/>
          <w:szCs w:val="18"/>
        </w:rPr>
        <w:t>Ponadto zakres prac obejmuje:</w:t>
      </w:r>
    </w:p>
    <w:p w14:paraId="629ECC12" w14:textId="77777777" w:rsidR="00615800" w:rsidRPr="00703DDF" w:rsidRDefault="00615800" w:rsidP="00542D2C">
      <w:pPr>
        <w:ind w:firstLine="426"/>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B50AEB">
      <w:pPr>
        <w:pStyle w:val="Akapitzlist"/>
        <w:numPr>
          <w:ilvl w:val="1"/>
          <w:numId w:val="18"/>
        </w:numPr>
        <w:ind w:left="709" w:firstLine="426"/>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B50AEB">
      <w:pPr>
        <w:pStyle w:val="Akapitzlist"/>
        <w:numPr>
          <w:ilvl w:val="1"/>
          <w:numId w:val="18"/>
        </w:numPr>
        <w:ind w:left="709" w:firstLine="426"/>
        <w:rPr>
          <w:rFonts w:ascii="Arial" w:hAnsi="Arial" w:cs="Arial"/>
          <w:sz w:val="18"/>
          <w:szCs w:val="18"/>
        </w:rPr>
      </w:pPr>
      <w:r w:rsidRPr="00703DDF">
        <w:rPr>
          <w:rFonts w:ascii="Arial" w:hAnsi="Arial" w:cs="Arial"/>
          <w:sz w:val="18"/>
          <w:szCs w:val="18"/>
        </w:rPr>
        <w:t>Obsługa geodezyjna zadania wraz z inwentaryzacją  powykonawczą –  mapy kpl. 5,000</w:t>
      </w:r>
    </w:p>
    <w:p w14:paraId="5109E99B" w14:textId="77777777" w:rsidR="00615800" w:rsidRPr="00703DDF" w:rsidRDefault="00615800" w:rsidP="00B50AEB">
      <w:pPr>
        <w:pStyle w:val="Akapitzlist"/>
        <w:numPr>
          <w:ilvl w:val="1"/>
          <w:numId w:val="18"/>
        </w:numPr>
        <w:ind w:left="709" w:firstLine="426"/>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542D2C">
      <w:pPr>
        <w:ind w:firstLine="426"/>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56AA5468" w:rsidR="00615800" w:rsidRPr="00703DDF" w:rsidRDefault="00615800" w:rsidP="00542D2C">
      <w:pPr>
        <w:ind w:firstLine="426"/>
        <w:jc w:val="both"/>
        <w:rPr>
          <w:rFonts w:ascii="Arial" w:hAnsi="Arial" w:cs="Arial"/>
          <w:sz w:val="18"/>
          <w:szCs w:val="18"/>
          <w:lang w:eastAsia="en-GB"/>
        </w:rPr>
      </w:pPr>
      <w:r w:rsidRPr="00703DDF">
        <w:rPr>
          <w:rFonts w:ascii="Arial" w:hAnsi="Arial" w:cs="Arial"/>
          <w:sz w:val="18"/>
          <w:szCs w:val="18"/>
        </w:rPr>
        <w:t>3) wymagane dokumenty dotyczące przeprowadzonych przez Wykonawcę badań i sprawdzeń,</w:t>
      </w:r>
    </w:p>
    <w:p w14:paraId="3D9D5C33" w14:textId="77777777" w:rsidR="00542D2C" w:rsidRDefault="00542D2C" w:rsidP="00DB289F">
      <w:pPr>
        <w:tabs>
          <w:tab w:val="left" w:pos="284"/>
        </w:tabs>
        <w:jc w:val="both"/>
        <w:rPr>
          <w:rFonts w:ascii="Arial" w:hAnsi="Arial" w:cs="Arial"/>
          <w:b/>
          <w:sz w:val="18"/>
          <w:szCs w:val="18"/>
        </w:rPr>
      </w:pPr>
    </w:p>
    <w:p w14:paraId="48F8540E" w14:textId="419B0F28" w:rsidR="00525D8B" w:rsidRPr="00542D2C" w:rsidRDefault="00525D8B" w:rsidP="00B50AEB">
      <w:pPr>
        <w:pStyle w:val="Akapitzlist"/>
        <w:numPr>
          <w:ilvl w:val="0"/>
          <w:numId w:val="29"/>
        </w:numPr>
        <w:jc w:val="both"/>
        <w:rPr>
          <w:rFonts w:ascii="Arial" w:hAnsi="Arial" w:cs="Arial"/>
          <w:b/>
          <w:sz w:val="18"/>
          <w:szCs w:val="18"/>
        </w:rPr>
      </w:pPr>
      <w:r w:rsidRPr="00542D2C">
        <w:rPr>
          <w:rFonts w:ascii="Arial" w:hAnsi="Arial" w:cs="Arial"/>
          <w:b/>
          <w:sz w:val="18"/>
          <w:szCs w:val="18"/>
        </w:rPr>
        <w:t>Technologia wykonania prac:</w:t>
      </w:r>
    </w:p>
    <w:p w14:paraId="44E68B09" w14:textId="2F397E44"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lastRenderedPageBreak/>
        <w:t>1)</w:t>
      </w:r>
      <w:r w:rsidR="00542D2C" w:rsidRPr="00542D2C">
        <w:rPr>
          <w:rFonts w:ascii="Arial" w:hAnsi="Arial" w:cs="Arial"/>
          <w:sz w:val="18"/>
          <w:szCs w:val="18"/>
        </w:rPr>
        <w:tab/>
        <w:t>Prace związane z wykonaniem inwestycji należy prowadzić zgodnie z obowiązującymi normami, przepisami prawa budowlanego, przepisami prawa dotyczącymi wymagań technicznych, ochrony środowiska naturalnego, zgodnie z zasadami BHP oraz wiedzą techniczną.</w:t>
      </w:r>
    </w:p>
    <w:p w14:paraId="5B70BC73" w14:textId="62AB1E42"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2)</w:t>
      </w:r>
      <w:r w:rsidR="00542D2C" w:rsidRPr="00542D2C">
        <w:rPr>
          <w:rFonts w:ascii="Arial" w:hAnsi="Arial" w:cs="Arial"/>
          <w:sz w:val="18"/>
          <w:szCs w:val="18"/>
        </w:rPr>
        <w:tab/>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0EFA5C00" w14:textId="77777777"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Jeżeli w dokumentacji , przedmiarze lub specyfikacji występują wskazania materiałowe na konkretnego producenta  / nazwy producentów i produktów / należy odczytywać je jako przykładowe służące tylko i wyłącznie doprecyzowaniu przedmiotu zamówienia.</w:t>
      </w:r>
    </w:p>
    <w:p w14:paraId="35A825C5" w14:textId="77777777"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0EBDD222" w14:textId="77777777"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 xml:space="preserve">Zamawiający wymaga złożenia stosownych dokumentów, uwiarygodniających te materiały. </w:t>
      </w:r>
    </w:p>
    <w:p w14:paraId="2333147B" w14:textId="03A6C776"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3)</w:t>
      </w:r>
      <w:r w:rsidR="00542D2C" w:rsidRPr="00542D2C">
        <w:rPr>
          <w:rFonts w:ascii="Arial" w:hAnsi="Arial" w:cs="Arial"/>
          <w:sz w:val="18"/>
          <w:szCs w:val="18"/>
        </w:rPr>
        <w:tab/>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9A57A03" w14:textId="701114B0"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4)</w:t>
      </w:r>
      <w:r w:rsidR="00542D2C" w:rsidRPr="00542D2C">
        <w:rPr>
          <w:rFonts w:ascii="Arial" w:hAnsi="Arial" w:cs="Arial"/>
          <w:sz w:val="18"/>
          <w:szCs w:val="18"/>
        </w:rPr>
        <w:tab/>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5C46C24B" w14:textId="5611C7B8" w:rsidR="00542D2C" w:rsidRPr="00542D2C" w:rsidRDefault="00DB462D" w:rsidP="00542D2C">
      <w:pPr>
        <w:pStyle w:val="Akapitzlist"/>
        <w:ind w:hanging="11"/>
        <w:jc w:val="both"/>
        <w:rPr>
          <w:rFonts w:ascii="Arial" w:hAnsi="Arial" w:cs="Arial"/>
          <w:sz w:val="18"/>
          <w:szCs w:val="18"/>
        </w:rPr>
      </w:pPr>
      <w:r>
        <w:rPr>
          <w:rFonts w:ascii="Arial" w:hAnsi="Arial" w:cs="Arial"/>
          <w:sz w:val="18"/>
          <w:szCs w:val="18"/>
        </w:rPr>
        <w:t>5)</w:t>
      </w:r>
      <w:r w:rsidR="00542D2C" w:rsidRPr="00542D2C">
        <w:rPr>
          <w:rFonts w:ascii="Arial" w:hAnsi="Arial" w:cs="Arial"/>
          <w:sz w:val="18"/>
          <w:szCs w:val="18"/>
        </w:rPr>
        <w:tab/>
        <w:t>Teren okoliczny oraz ruch pieszy i kołowy należy w sposób trwały zabezpieczyć przed oddziaływaniem robót.</w:t>
      </w:r>
    </w:p>
    <w:p w14:paraId="38697ADC" w14:textId="29257F10" w:rsidR="00542D2C" w:rsidRPr="00542D2C" w:rsidRDefault="00542D2C" w:rsidP="00542D2C">
      <w:pPr>
        <w:pStyle w:val="Akapitzlist"/>
        <w:ind w:hanging="11"/>
        <w:jc w:val="both"/>
        <w:rPr>
          <w:rFonts w:ascii="Arial" w:hAnsi="Arial" w:cs="Arial"/>
          <w:sz w:val="18"/>
          <w:szCs w:val="18"/>
        </w:rPr>
      </w:pPr>
      <w:r w:rsidRPr="00542D2C">
        <w:rPr>
          <w:rFonts w:ascii="Arial" w:hAnsi="Arial" w:cs="Arial"/>
          <w:sz w:val="18"/>
          <w:szCs w:val="18"/>
        </w:rPr>
        <w:t>6</w:t>
      </w:r>
      <w:r w:rsidR="00DB462D">
        <w:rPr>
          <w:rFonts w:ascii="Arial" w:hAnsi="Arial" w:cs="Arial"/>
          <w:sz w:val="18"/>
          <w:szCs w:val="18"/>
        </w:rPr>
        <w:t>)</w:t>
      </w:r>
      <w:bookmarkStart w:id="0" w:name="_GoBack"/>
      <w:bookmarkEnd w:id="0"/>
      <w:r w:rsidRPr="00542D2C">
        <w:rPr>
          <w:rFonts w:ascii="Arial" w:hAnsi="Arial" w:cs="Arial"/>
          <w:sz w:val="18"/>
          <w:szCs w:val="18"/>
        </w:rPr>
        <w:tab/>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1E293180"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542D2C">
        <w:rPr>
          <w:rFonts w:ascii="Arial" w:hAnsi="Arial" w:cs="Arial"/>
          <w:sz w:val="18"/>
          <w:szCs w:val="18"/>
        </w:rPr>
        <w:t>2017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52C50966"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542D2C">
        <w:rPr>
          <w:rFonts w:ascii="Arial" w:hAnsi="Arial" w:cs="Arial"/>
          <w:sz w:val="18"/>
          <w:szCs w:val="18"/>
        </w:rPr>
        <w:t>31.05.2017</w:t>
      </w:r>
      <w:r w:rsidR="002A7E6D" w:rsidRPr="00012D5D">
        <w:rPr>
          <w:rFonts w:ascii="Arial" w:hAnsi="Arial" w:cs="Arial"/>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2FF790A9"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p>
    <w:p w14:paraId="46AC7B0B" w14:textId="47756B67"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C92A42" w:rsidRPr="00703DDF">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50AEB">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50AEB">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lastRenderedPageBreak/>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lastRenderedPageBreak/>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lastRenderedPageBreak/>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50AEB">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1E2C1D22"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w:t>
      </w:r>
      <w:r w:rsidR="002E67AE">
        <w:rPr>
          <w:rFonts w:ascii="Arial" w:hAnsi="Arial" w:cs="Arial"/>
          <w:sz w:val="18"/>
          <w:szCs w:val="18"/>
        </w:rPr>
        <w:t>o wykonania umowy w wysokości 5</w:t>
      </w:r>
      <w:r w:rsidRPr="00703DDF">
        <w:rPr>
          <w:rFonts w:ascii="Arial" w:hAnsi="Arial" w:cs="Arial"/>
          <w:sz w:val="18"/>
          <w:szCs w:val="18"/>
        </w:rPr>
        <w:t xml:space="preserve">% wynagrodzenia umownego za przedmiot umowy co stanowi kwotę:   </w:t>
      </w:r>
    </w:p>
    <w:p w14:paraId="6007A57C" w14:textId="1D66641D" w:rsidR="00363010" w:rsidRDefault="00363010" w:rsidP="00AF2B2D">
      <w:pPr>
        <w:tabs>
          <w:tab w:val="left" w:pos="567"/>
        </w:tabs>
        <w:jc w:val="both"/>
        <w:rPr>
          <w:rFonts w:ascii="Arial" w:hAnsi="Arial" w:cs="Arial"/>
          <w:sz w:val="18"/>
          <w:szCs w:val="18"/>
        </w:rPr>
      </w:pPr>
      <w:r>
        <w:rPr>
          <w:rFonts w:ascii="Arial" w:hAnsi="Arial" w:cs="Arial"/>
          <w:sz w:val="18"/>
          <w:szCs w:val="18"/>
        </w:rPr>
        <w:t xml:space="preserve">Słownie: </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BAE81AD"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601CC0FB" w14:textId="46160D06" w:rsidR="00636BAB"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dokumentu stwierdzającego wniesienie zabezpieczenia w formie innej niż w pieniądzu musi wynikać, że zabezpieczenie dotyczy należytego wykonania umowy w sprawie zamówienia publicznego na wykonanie robót budowlanych „ </w:t>
      </w:r>
      <w:r w:rsidR="002E67AE">
        <w:rPr>
          <w:rFonts w:ascii="Arial" w:hAnsi="Arial" w:cs="Arial"/>
          <w:bCs/>
          <w:sz w:val="18"/>
          <w:szCs w:val="18"/>
        </w:rPr>
        <w:t>Budowa drogi dojazdowej w Strykówku z materiału Wykonawcy</w:t>
      </w:r>
      <w:r w:rsidRPr="00703DDF">
        <w:rPr>
          <w:rFonts w:ascii="Arial" w:hAnsi="Arial" w:cs="Arial"/>
          <w:bCs/>
          <w:sz w:val="18"/>
          <w:szCs w:val="18"/>
        </w:rPr>
        <w:t>.</w:t>
      </w:r>
    </w:p>
    <w:p w14:paraId="4A24531F" w14:textId="1FE3BDE5"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FDA1B99" w14:textId="0066515A" w:rsidR="002E67AE" w:rsidRPr="002E67AE" w:rsidRDefault="00CF10B0" w:rsidP="002E67AE">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sidRPr="002E67AE">
        <w:rPr>
          <w:rFonts w:ascii="Arial" w:hAnsi="Arial" w:cs="Arial"/>
          <w:b/>
          <w:bCs/>
          <w:sz w:val="18"/>
          <w:szCs w:val="18"/>
          <w:lang w:val="pl-PL"/>
        </w:rPr>
        <w:t>.</w:t>
      </w:r>
      <w:r w:rsidR="002E67AE" w:rsidRPr="002E67AE">
        <w:rPr>
          <w:rFonts w:ascii="Arial" w:hAnsi="Arial" w:cs="Arial"/>
          <w:b/>
          <w:bCs/>
          <w:sz w:val="18"/>
          <w:szCs w:val="18"/>
          <w:lang w:val="pl-PL"/>
        </w:rPr>
        <w:t xml:space="preserve"> </w:t>
      </w:r>
      <w:r w:rsidR="002E67AE" w:rsidRPr="002E67AE">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D61955F"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Wykonawca zamierza powierzyć określoną część prac podwykonawcom zobowiązany jest wskazać w ofercie zakres tych prac.</w:t>
      </w:r>
    </w:p>
    <w:p w14:paraId="33AC40B8" w14:textId="77777777" w:rsidR="002E67AE" w:rsidRPr="002E67AE" w:rsidRDefault="002E67AE" w:rsidP="00B50AEB">
      <w:pPr>
        <w:numPr>
          <w:ilvl w:val="0"/>
          <w:numId w:val="24"/>
        </w:numPr>
        <w:suppressAutoHyphens/>
        <w:ind w:left="0" w:firstLine="0"/>
        <w:rPr>
          <w:rFonts w:ascii="Arial" w:eastAsia="Arial" w:hAnsi="Arial" w:cs="Arial"/>
          <w:sz w:val="18"/>
          <w:szCs w:val="18"/>
        </w:rPr>
      </w:pPr>
      <w:r w:rsidRPr="002E67AE">
        <w:rPr>
          <w:rFonts w:ascii="Arial" w:hAnsi="Arial" w:cs="Arial"/>
          <w:sz w:val="18"/>
          <w:szCs w:val="18"/>
        </w:rPr>
        <w:t xml:space="preserve">W przypadku udziału Podwykonawców w realizacji zamówienia Wykonawca zobowiązany jest przed </w:t>
      </w:r>
      <w:r w:rsidRPr="002E67AE">
        <w:rPr>
          <w:rFonts w:ascii="Arial" w:eastAsia="Arial" w:hAnsi="Arial" w:cs="Arial"/>
          <w:sz w:val="18"/>
          <w:szCs w:val="18"/>
        </w:rPr>
        <w:t xml:space="preserve"> </w:t>
      </w:r>
      <w:r w:rsidRPr="002E67AE">
        <w:rPr>
          <w:rFonts w:ascii="Arial" w:hAnsi="Arial" w:cs="Arial"/>
          <w:sz w:val="18"/>
          <w:szCs w:val="18"/>
        </w:rPr>
        <w:t>podpisaniem umowy podać Zamawiającemu nazwy i adresy Podwykonawców</w:t>
      </w:r>
    </w:p>
    <w:p w14:paraId="723B99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37128DE" w14:textId="77777777" w:rsidR="002E67AE" w:rsidRPr="002E67AE" w:rsidRDefault="002E67AE" w:rsidP="00B50AEB">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2E67AE">
        <w:rPr>
          <w:rFonts w:ascii="Arial" w:eastAsia="Arial" w:hAnsi="Arial" w:cs="Arial"/>
          <w:sz w:val="18"/>
          <w:szCs w:val="18"/>
          <w:lang w:val="pl-PL"/>
        </w:rPr>
        <w:t>Zamawiający nie wyrazi zgody na zawarcie przedstawionej mu przez Wykonawcę, umowy z Podwykonawcą w szczególności w następujących przypadkach:</w:t>
      </w:r>
    </w:p>
    <w:p w14:paraId="5739C9D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lastRenderedPageBreak/>
        <w:t>umowa podwykonawcza nie określa Stron, pomiędzy którymi jest zawierana;</w:t>
      </w:r>
    </w:p>
    <w:p w14:paraId="5F019E1D"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umowie podwykonawczej Strony nie wskazały wartości wynagrodzenia /maksymalnej wartości umowy z tytułu wykonywania robót;</w:t>
      </w:r>
    </w:p>
    <w:p w14:paraId="5C1BAA4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2C606DA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0A5AEC1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5D2115E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59536643"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uniemożliwiają rozliczenie jej stron według zasad określonych w niniejszej umowie;</w:t>
      </w:r>
    </w:p>
    <w:p w14:paraId="6F86FC8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Podwykonawca nie spełnia warunków określonych w SIWZ dla Podwykonawców (w przypadku gdy zostały określone);</w:t>
      </w:r>
    </w:p>
    <w:p w14:paraId="28924E8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FDBBDE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przewiduje termin realizacji dłuższy niż niniejsza umowa;</w:t>
      </w:r>
    </w:p>
    <w:p w14:paraId="7C11227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3864A12D" w14:textId="77777777" w:rsidR="002E67AE" w:rsidRPr="002E67AE" w:rsidRDefault="002E67AE" w:rsidP="002E67AE">
      <w:pPr>
        <w:pStyle w:val="Standard"/>
        <w:spacing w:line="100" w:lineRule="atLeast"/>
        <w:rPr>
          <w:rFonts w:ascii="Arial" w:eastAsia="Arial" w:hAnsi="Arial" w:cs="Arial"/>
          <w:sz w:val="18"/>
          <w:szCs w:val="18"/>
          <w:lang w:val="pl-PL"/>
        </w:rPr>
      </w:pPr>
      <w:r w:rsidRPr="002E67AE">
        <w:rPr>
          <w:rFonts w:ascii="Arial" w:eastAsia="Arial" w:hAnsi="Arial" w:cs="Arial"/>
          <w:sz w:val="18"/>
          <w:szCs w:val="18"/>
          <w:lang w:val="pl-PL"/>
        </w:rPr>
        <w:t>Powyższy katalog przesłanek nie wyłącza możliwości niewyrażenia zgody na umowę podwykonawczą z innych uzasadnionych powodów.</w:t>
      </w:r>
    </w:p>
    <w:p w14:paraId="078802C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DE83E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Zgłoszenie sprzeciwu lub zastrzeżeń przez Zamawiającego w terminie określonym w ust. 5 będzie równoznaczne z odmową udzielenia zgody.</w:t>
      </w:r>
    </w:p>
    <w:p w14:paraId="7E77DE74"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odmowy akceptacji umowy podwykonawczej, Wykonawca nie może polecić Podwykonawcy przystąpienia do realizacji zadania.</w:t>
      </w:r>
    </w:p>
    <w:p w14:paraId="579E13A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odmowy określonej w ust. 5, Wykonawca ponownie przedstawi  projekt zmiany umowy z podwykonawcą  lub aneks do umowy o podwykonawstwo w terminie 7 dni, uwzględniając zastrzeżenia i uwagi zgłoszone przez Zamawiającego.  </w:t>
      </w:r>
    </w:p>
    <w:p w14:paraId="6664F64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4A4847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1E047B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242C2FAB"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Umowy Wykonawcy z podwykonawcami lub dalszymi podwykonawcami powinny być zawarte na piśmie pod rygorem nieważności.</w:t>
      </w:r>
    </w:p>
    <w:p w14:paraId="4E2D7415"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CB35FA"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EE2845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B2916"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powierzenia przez Wykonawcę realizacji zadania Podwykonawcy, dalszemu Podwykonawcy, Wykonawca, Podwykonawca, dalszy Podwykonawca zobowiązany jest do dokonania we własnym zakresie </w:t>
      </w:r>
      <w:r w:rsidRPr="002E67AE">
        <w:rPr>
          <w:rFonts w:ascii="Arial" w:eastAsia="Arial" w:hAnsi="Arial" w:cs="Arial"/>
          <w:sz w:val="18"/>
          <w:szCs w:val="18"/>
          <w:lang w:val="pl-PL"/>
        </w:rPr>
        <w:lastRenderedPageBreak/>
        <w:t>zapłaty wynagrodzenia należnego Podwykonawcy, dalszemu Podwykonawcy z zachowaniem terminów płatności określonych w umowie z Podwykonawcą, dalszym Podwykonawcą.</w:t>
      </w:r>
    </w:p>
    <w:p w14:paraId="58640F07"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Prawo zamówień publicznych.</w:t>
      </w:r>
    </w:p>
    <w:p w14:paraId="11A157D0"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75B278FC"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D8651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3AABF64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72130AF4"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zestawienie należności dla wszystkich podwykonawców wraz z kopiami wystawionych przez nich faktur,</w:t>
      </w:r>
    </w:p>
    <w:p w14:paraId="5F982FB2"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6C6A9FA5"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7B70EE"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7A83B32"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BF3B3BF"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2F43844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nie ponosi odpowiedzialności za zapłatę wynagrodzenia za roboty budowlane wykonane przez Podwykonawcę w przypadku :</w:t>
      </w:r>
    </w:p>
    <w:p w14:paraId="4C363BC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zawarcia umowy z Podwykonawcą lub zmiany Podwykonawcy, bez zgody Zamawiającego,</w:t>
      </w:r>
    </w:p>
    <w:p w14:paraId="579F628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zmiany warunków umowy z Podwykonawcą bez zgody Zamawiającego,</w:t>
      </w:r>
    </w:p>
    <w:p w14:paraId="1892F7AF" w14:textId="77777777" w:rsidR="002E67AE" w:rsidRPr="002E67AE" w:rsidRDefault="002E67AE" w:rsidP="00B50AEB">
      <w:pPr>
        <w:pStyle w:val="Standard"/>
        <w:numPr>
          <w:ilvl w:val="0"/>
          <w:numId w:val="36"/>
        </w:numPr>
        <w:tabs>
          <w:tab w:val="left" w:pos="284"/>
          <w:tab w:val="left" w:pos="567"/>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nieuwzględnienia sprzeciwu lub zastrzeżeń do umowy z Podwykonawcą zgłoszonych przez Zamawiającego lub innego naruszenia art. 647</w:t>
      </w:r>
      <w:r w:rsidRPr="002E67AE">
        <w:rPr>
          <w:rFonts w:ascii="Arial" w:eastAsia="Arial" w:hAnsi="Arial" w:cs="Arial"/>
          <w:sz w:val="18"/>
          <w:szCs w:val="18"/>
          <w:vertAlign w:val="superscript"/>
          <w:lang w:val="pl-PL"/>
        </w:rPr>
        <w:t>1</w:t>
      </w:r>
      <w:r w:rsidRPr="002E67AE">
        <w:rPr>
          <w:rFonts w:ascii="Arial" w:eastAsia="Arial" w:hAnsi="Arial" w:cs="Arial"/>
          <w:sz w:val="18"/>
          <w:szCs w:val="18"/>
          <w:lang w:val="pl-PL"/>
        </w:rPr>
        <w:t xml:space="preserve">  Kodeksu cywilnego.</w:t>
      </w:r>
    </w:p>
    <w:p w14:paraId="5934C1F9"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58025FA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6E1C363F" w14:textId="77777777" w:rsidR="002E67AE" w:rsidRPr="002E67AE" w:rsidRDefault="002E67AE" w:rsidP="00B50AEB">
      <w:pPr>
        <w:pStyle w:val="Akapitzlist"/>
        <w:numPr>
          <w:ilvl w:val="0"/>
          <w:numId w:val="24"/>
        </w:numPr>
        <w:ind w:left="142" w:firstLine="0"/>
        <w:rPr>
          <w:rFonts w:ascii="Arial" w:eastAsia="Arial" w:hAnsi="Arial" w:cs="Arial"/>
          <w:kern w:val="3"/>
          <w:sz w:val="18"/>
          <w:szCs w:val="18"/>
          <w:lang w:bidi="en-US"/>
        </w:rPr>
      </w:pPr>
      <w:r w:rsidRPr="002E67AE">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4B5A1203"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Postanowienia dotyczące kar umownych dotyczących m.in podwykonawców zostały zawarte w załączniku nr 8 do SIWZ tj. w projekcie umowy </w:t>
      </w:r>
    </w:p>
    <w:p w14:paraId="374373E8" w14:textId="6E02B071" w:rsidR="00551D1A" w:rsidRPr="00703DDF" w:rsidRDefault="00551D1A" w:rsidP="002E67AE">
      <w:pPr>
        <w:pStyle w:val="Standard"/>
        <w:spacing w:line="100" w:lineRule="atLeast"/>
        <w:jc w:val="both"/>
        <w:rPr>
          <w:rFonts w:ascii="Arial" w:eastAsia="Arial" w:hAnsi="Arial" w:cs="Arial"/>
          <w:sz w:val="18"/>
          <w:szCs w:val="18"/>
          <w:lang w:val="pl-PL"/>
        </w:rPr>
      </w:pP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lastRenderedPageBreak/>
        <w:t>Wykonawca zapłaci Zamawiającemu kary umowne w przypadku:</w:t>
      </w:r>
    </w:p>
    <w:p w14:paraId="0EDCF963" w14:textId="6A171D12"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6C1E3B">
        <w:rPr>
          <w:rFonts w:ascii="Arial" w:hAnsi="Arial" w:cs="Arial"/>
          <w:sz w:val="18"/>
          <w:szCs w:val="18"/>
        </w:rPr>
        <w:t>2.</w:t>
      </w:r>
      <w:r w:rsidR="008B21A8" w:rsidRPr="002411B2">
        <w:rPr>
          <w:rFonts w:ascii="Arial" w:hAnsi="Arial" w:cs="Arial"/>
          <w:sz w:val="18"/>
          <w:szCs w:val="18"/>
        </w:rPr>
        <w:t>0</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41C9B15D"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C1E3B">
        <w:rPr>
          <w:rFonts w:ascii="Arial" w:hAnsi="Arial" w:cs="Arial"/>
          <w:sz w:val="18"/>
          <w:szCs w:val="18"/>
        </w:rPr>
        <w:t>w wysokości 1.0</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9B68135"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6C1E3B">
        <w:rPr>
          <w:rFonts w:ascii="Arial" w:hAnsi="Arial" w:cs="Arial"/>
          <w:sz w:val="18"/>
          <w:szCs w:val="18"/>
        </w:rPr>
        <w:t>odpowiedzialność w wysokości 5</w:t>
      </w:r>
      <w:r w:rsidRPr="00012D5D">
        <w:rPr>
          <w:rFonts w:ascii="Arial" w:hAnsi="Arial" w:cs="Arial"/>
          <w:sz w:val="18"/>
          <w:szCs w:val="18"/>
        </w:rPr>
        <w:t>0.000,00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2106D7E6"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6C1E3B">
        <w:rPr>
          <w:rFonts w:ascii="Arial" w:hAnsi="Arial" w:cs="Arial"/>
          <w:sz w:val="18"/>
          <w:szCs w:val="18"/>
        </w:rPr>
        <w:t>ane, lub projektu jej zmiany – 5</w:t>
      </w:r>
      <w:r w:rsidRPr="00012D5D">
        <w:rPr>
          <w:rFonts w:ascii="Arial" w:hAnsi="Arial" w:cs="Arial"/>
          <w:sz w:val="18"/>
          <w:szCs w:val="18"/>
        </w:rPr>
        <w:t>0.000,00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2AC0E95A"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006C1E3B">
        <w:rPr>
          <w:rFonts w:ascii="Arial" w:hAnsi="Arial" w:cs="Arial"/>
          <w:sz w:val="18"/>
          <w:szCs w:val="18"/>
        </w:rPr>
        <w:t>.0</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45C4EEA6"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p>
    <w:p w14:paraId="7579E23D" w14:textId="236D1572" w:rsidR="004306D6" w:rsidRPr="00DB0F77" w:rsidRDefault="00C079F7" w:rsidP="00B50AEB">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4C1A0B3F"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 xml:space="preserve">onane prace ustala się na okres  </w:t>
      </w:r>
      <w:r w:rsidR="006C1E3B">
        <w:rPr>
          <w:rFonts w:ascii="Arial" w:hAnsi="Arial" w:cs="Arial"/>
          <w:sz w:val="18"/>
          <w:szCs w:val="18"/>
        </w:rPr>
        <w:t>..</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lastRenderedPageBreak/>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lastRenderedPageBreak/>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C098" w14:textId="77777777" w:rsidR="00F37516" w:rsidRDefault="00F37516">
      <w:r>
        <w:separator/>
      </w:r>
    </w:p>
  </w:endnote>
  <w:endnote w:type="continuationSeparator" w:id="0">
    <w:p w14:paraId="2D0C3D75" w14:textId="77777777" w:rsidR="00F37516" w:rsidRDefault="00F3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7AB5" w14:textId="77777777" w:rsidR="00F37516" w:rsidRDefault="00F37516">
      <w:r>
        <w:separator/>
      </w:r>
    </w:p>
  </w:footnote>
  <w:footnote w:type="continuationSeparator" w:id="0">
    <w:p w14:paraId="362F7984" w14:textId="77777777" w:rsidR="00F37516" w:rsidRDefault="00F37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B462D">
      <w:rPr>
        <w:rStyle w:val="Numerstrony"/>
        <w:noProof/>
        <w:sz w:val="20"/>
        <w:szCs w:val="20"/>
      </w:rPr>
      <w:t>10</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B0E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535DEA"/>
    <w:multiLevelType w:val="hybridMultilevel"/>
    <w:tmpl w:val="DCE03AA8"/>
    <w:lvl w:ilvl="0" w:tplc="D0FCCE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5"/>
  </w:num>
  <w:num w:numId="2">
    <w:abstractNumId w:val="23"/>
  </w:num>
  <w:num w:numId="3">
    <w:abstractNumId w:val="33"/>
  </w:num>
  <w:num w:numId="4">
    <w:abstractNumId w:val="31"/>
  </w:num>
  <w:num w:numId="5">
    <w:abstractNumId w:val="15"/>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7"/>
  </w:num>
  <w:num w:numId="11">
    <w:abstractNumId w:val="18"/>
  </w:num>
  <w:num w:numId="12">
    <w:abstractNumId w:val="29"/>
  </w:num>
  <w:num w:numId="13">
    <w:abstractNumId w:val="28"/>
  </w:num>
  <w:num w:numId="14">
    <w:abstractNumId w:val="6"/>
  </w:num>
  <w:num w:numId="15">
    <w:abstractNumId w:val="0"/>
  </w:num>
  <w:num w:numId="16">
    <w:abstractNumId w:val="13"/>
  </w:num>
  <w:num w:numId="17">
    <w:abstractNumId w:val="27"/>
  </w:num>
  <w:num w:numId="18">
    <w:abstractNumId w:val="34"/>
  </w:num>
  <w:num w:numId="19">
    <w:abstractNumId w:val="20"/>
  </w:num>
  <w:num w:numId="20">
    <w:abstractNumId w:val="35"/>
  </w:num>
  <w:num w:numId="21">
    <w:abstractNumId w:val="26"/>
  </w:num>
  <w:num w:numId="22">
    <w:abstractNumId w:val="7"/>
  </w:num>
  <w:num w:numId="23">
    <w:abstractNumId w:val="24"/>
  </w:num>
  <w:num w:numId="24">
    <w:abstractNumId w:val="1"/>
  </w:num>
  <w:num w:numId="25">
    <w:abstractNumId w:val="21"/>
  </w:num>
  <w:num w:numId="26">
    <w:abstractNumId w:val="9"/>
  </w:num>
  <w:num w:numId="27">
    <w:abstractNumId w:val="14"/>
  </w:num>
  <w:num w:numId="28">
    <w:abstractNumId w:val="11"/>
  </w:num>
  <w:num w:numId="29">
    <w:abstractNumId w:val="30"/>
  </w:num>
  <w:num w:numId="30">
    <w:abstractNumId w:val="22"/>
  </w:num>
  <w:num w:numId="31">
    <w:abstractNumId w:val="10"/>
  </w:num>
  <w:num w:numId="32">
    <w:abstractNumId w:val="2"/>
  </w:num>
  <w:num w:numId="33">
    <w:abstractNumId w:val="4"/>
  </w:num>
  <w:num w:numId="34">
    <w:abstractNumId w:val="8"/>
  </w:num>
  <w:num w:numId="35">
    <w:abstractNumId w:val="12"/>
  </w:num>
  <w:num w:numId="36">
    <w:abstractNumId w:val="36"/>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6808"/>
    <w:rsid w:val="00537D8A"/>
    <w:rsid w:val="005417F2"/>
    <w:rsid w:val="00542D2C"/>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2822"/>
    <w:rsid w:val="00780DA9"/>
    <w:rsid w:val="007820E1"/>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6DEE-A779-4032-9176-5F0B9195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6025</Words>
  <Characters>36152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18</cp:revision>
  <cp:lastPrinted>2016-11-03T07:49:00Z</cp:lastPrinted>
  <dcterms:created xsi:type="dcterms:W3CDTF">2016-10-03T16:33:00Z</dcterms:created>
  <dcterms:modified xsi:type="dcterms:W3CDTF">2017-01-24T06:54:00Z</dcterms:modified>
</cp:coreProperties>
</file>